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464AD" w14:textId="77777777" w:rsidR="008600A5" w:rsidRDefault="00230F96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3AC45A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EAD5A2844684DCD8FCD4A53E6A1734A" style="width:450.5pt;height:321.5pt">
            <v:imagedata r:id="rId8" o:title=""/>
          </v:shape>
        </w:pict>
      </w:r>
    </w:p>
    <w:bookmarkEnd w:id="0"/>
    <w:p w14:paraId="70E733C9" w14:textId="77777777" w:rsidR="008600A5" w:rsidRDefault="008600A5">
      <w:pPr>
        <w:rPr>
          <w:noProof/>
        </w:rPr>
        <w:sectPr w:rsidR="008600A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 w14:paraId="70BA986F" w14:textId="77777777" w:rsidR="008600A5" w:rsidRDefault="00520B94">
      <w:pPr>
        <w:jc w:val="center"/>
        <w:rPr>
          <w:noProof/>
        </w:rPr>
      </w:pPr>
      <w:r>
        <w:rPr>
          <w:rFonts w:ascii="Times New Roman" w:hAnsi="Times New Roman"/>
          <w:b/>
          <w:noProof/>
          <w:sz w:val="24"/>
        </w:rPr>
        <w:lastRenderedPageBreak/>
        <w:t>Zamknięcie obiegu – plan działania UE dotyczący gospodarki o obiegu zamkniętym</w:t>
      </w:r>
    </w:p>
    <w:p w14:paraId="4176C240" w14:textId="77777777" w:rsidR="008600A5" w:rsidRDefault="00520B94">
      <w:pPr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Wprowadzenie</w:t>
      </w:r>
    </w:p>
    <w:p w14:paraId="0406E8B2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Przejście na gospodarkę o obiegu zamkniętym, gdzie wartość produktów, materiałów i zasobów w gospodarce jest utrzymywana tak długo, jak to możliwe, a wytwarzanie odpadów ograniczone do minimum, stanowi istotny wkład w wysiłki UE zmierzające do stworzenia z</w:t>
      </w:r>
      <w:r>
        <w:rPr>
          <w:rFonts w:ascii="Times New Roman" w:hAnsi="Times New Roman"/>
          <w:noProof/>
          <w:sz w:val="24"/>
        </w:rPr>
        <w:t xml:space="preserve">równoważonej, niskoemisyjnej, zasobooszczędnej i konkurencyjnej gospodarki. Takie przejście daje możliwość przekształcenia naszej gospodarki i zapewnienia Europie nowej i trwałej przewagi konkurencyjnej. </w:t>
      </w:r>
    </w:p>
    <w:p w14:paraId="1819A72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2EE06F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Gospodarka o obiegu zamkniętym zwiększy konkurency</w:t>
      </w:r>
      <w:r>
        <w:rPr>
          <w:rFonts w:ascii="Times New Roman" w:hAnsi="Times New Roman"/>
          <w:noProof/>
          <w:sz w:val="24"/>
        </w:rPr>
        <w:t>jność UE, chroniąc przedsiębiorstwa przed niedoborem zasobów i niestabilnością cen, dając nowe możliwości biznesowe i oraz innowacyjne, wydajniejsze sposoby produkcji i konsumpcji. Przyczyni się ona do powstania lokalnie miejsc pracy dla osób o różnych kwa</w:t>
      </w:r>
      <w:r>
        <w:rPr>
          <w:rFonts w:ascii="Times New Roman" w:hAnsi="Times New Roman"/>
          <w:noProof/>
          <w:sz w:val="24"/>
        </w:rPr>
        <w:t>lifikacjach oraz stworzy możliwości dla integracji i spójności społecznej. Jednocześnie przyczyni się do oszczędności energii i pozwoli uniknąć nieodwracalnych szkód spowodowanych wykorzystywaniem zasobów na poziomie przewyższającym zdolność Ziemi do odnow</w:t>
      </w:r>
      <w:r>
        <w:rPr>
          <w:rFonts w:ascii="Times New Roman" w:hAnsi="Times New Roman"/>
          <w:noProof/>
          <w:sz w:val="24"/>
        </w:rPr>
        <w:t>ienia ich pod względem klimatu i różnorodności biologicznej oraz zanieczyszczenia powietrza, gleby i wody. Niedawno opublikowane sprawozdanie zwraca również uwagę na bardziej ogólne korzyści, jakie płyną z gospodarki o obiegu zamkniętym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"/>
      </w:r>
      <w:r>
        <w:rPr>
          <w:rFonts w:ascii="Times New Roman" w:hAnsi="Times New Roman"/>
          <w:noProof/>
          <w:sz w:val="24"/>
        </w:rPr>
        <w:t xml:space="preserve">, w tym obniżenie </w:t>
      </w:r>
      <w:r>
        <w:rPr>
          <w:rFonts w:ascii="Times New Roman" w:hAnsi="Times New Roman"/>
          <w:noProof/>
          <w:sz w:val="24"/>
        </w:rPr>
        <w:t>obecnych poziomów emisji dwutlenku węgla. Działania na rzecz gospodarki o obiegu zamkniętym są zatem ściśle związane z głównymi priorytetami UE, takimi jak zatrudnienie i wzrost gospodarczy, harmonogram inwestycji, klimat i energia, agenda społeczna i inno</w:t>
      </w:r>
      <w:r>
        <w:rPr>
          <w:rFonts w:ascii="Times New Roman" w:hAnsi="Times New Roman"/>
          <w:noProof/>
          <w:sz w:val="24"/>
        </w:rPr>
        <w:t xml:space="preserve">wacje przemysłowe oraz z globalnymi wysiłkami na rzecz zrównoważonego rozwoju.  </w:t>
      </w:r>
    </w:p>
    <w:p w14:paraId="4064C490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4D591AA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Podmioty gospodarcze, takie jak przedsiębiorstwa i konsumenci, mają kluczowe znaczenie w realizacji tego procesu. Organy lokalne, regionalne i krajowe umożliwiają przekształc</w:t>
      </w:r>
      <w:r>
        <w:rPr>
          <w:rFonts w:ascii="Times New Roman" w:hAnsi="Times New Roman"/>
          <w:noProof/>
          <w:sz w:val="24"/>
        </w:rPr>
        <w:t>enie gospodarki, ale UE również odgrywa zasadniczą rolę we wspieraniu tego procesu. Należy zapewnić właściwe ramy regulacyjnych dla rozwoju gospodarki o obiegu zamkniętym na jednolitym rynku oraz dać jasny przekaz podmiotom gospodarczym i ogółowi społeczeń</w:t>
      </w:r>
      <w:r>
        <w:rPr>
          <w:rFonts w:ascii="Times New Roman" w:hAnsi="Times New Roman"/>
          <w:noProof/>
          <w:sz w:val="24"/>
        </w:rPr>
        <w:t>stwa na temat długoterminowych celów dotyczących odpadów, a także przedstawić zestaw konkretnych, szeroko zakrojonych i ambitnych działań, które zostaną zrealizowane przed 2020 r. Działania na poziomie UE będą stymulować inwestycje, stworzą równe warunki d</w:t>
      </w:r>
      <w:r>
        <w:rPr>
          <w:rFonts w:ascii="Times New Roman" w:hAnsi="Times New Roman"/>
          <w:noProof/>
          <w:sz w:val="24"/>
        </w:rPr>
        <w:t>ziałania, usuną przeszkody wynikające z prawodawstwa europejskiego lub niewystarczającego egzekwowania przepisów, pogłębią jednolity rynek i zapewnią warunki sprzyjające innowacjom i zaangażowaniu wszystkich zainteresowanych stron.</w:t>
      </w:r>
    </w:p>
    <w:p w14:paraId="4042204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DDA8B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Wnioski ustawodawcze w </w:t>
      </w:r>
      <w:r>
        <w:rPr>
          <w:rFonts w:ascii="Times New Roman" w:hAnsi="Times New Roman"/>
          <w:noProof/>
          <w:sz w:val="24"/>
        </w:rPr>
        <w:t xml:space="preserve">sprawie odpadów, przyjęte razem z niniejszym planem działania, obejmują długoterminowe cele w zakresie ograniczenia składowania odpadów oraz intensyfikacji przygotowań do ponownego użycia i recyklingu priorytetowych strumieni </w:t>
      </w:r>
      <w:r>
        <w:rPr>
          <w:rFonts w:ascii="Times New Roman" w:hAnsi="Times New Roman"/>
          <w:noProof/>
          <w:sz w:val="24"/>
        </w:rPr>
        <w:lastRenderedPageBreak/>
        <w:t>odpadów, takich jak odpady kom</w:t>
      </w:r>
      <w:r>
        <w:rPr>
          <w:rFonts w:ascii="Times New Roman" w:hAnsi="Times New Roman"/>
          <w:noProof/>
          <w:sz w:val="24"/>
        </w:rPr>
        <w:t>unalne oraz odpady opakowaniowe. Cele te powinny sprawić, że państwa członkowskie będą stopniowo dążyć do poziomu najlepszych praktyk i wprowadzać zachęty do koniecznych inwestycji w gospodarowanie odpadami. Proponuje się dalsze środki mające sprawić, że p</w:t>
      </w:r>
      <w:r>
        <w:rPr>
          <w:rFonts w:ascii="Times New Roman" w:hAnsi="Times New Roman"/>
          <w:noProof/>
          <w:sz w:val="24"/>
        </w:rPr>
        <w:t xml:space="preserve">roces wdrożenia będzie przejrzysty i prosty, propagujące zachęty gospodarcze i usprawniające systemy rozszerzonej odpowiedzialności producenta. </w:t>
      </w:r>
    </w:p>
    <w:p w14:paraId="299DB17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AF202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Zachęcając do zrównoważonej działalności w kluczowych sektorach i stwarzając nowe możliwości działalności gosp</w:t>
      </w:r>
      <w:r>
        <w:rPr>
          <w:rFonts w:ascii="Times New Roman" w:hAnsi="Times New Roman"/>
          <w:noProof/>
          <w:sz w:val="24"/>
        </w:rPr>
        <w:t>odarczej, plan ten przyczyni się do uwolnienia potencjału wzrostu i zatrudnienia, jakim dysponuje gospodarka o obiegu zamkniętym. Przedstawiono w nim obszerne zobowiązania dotyczące ekoprojektu, rozwinięte strategiczne koncepcje dotyczące tworzyw sztucznyc</w:t>
      </w:r>
      <w:r>
        <w:rPr>
          <w:rFonts w:ascii="Times New Roman" w:hAnsi="Times New Roman"/>
          <w:noProof/>
          <w:sz w:val="24"/>
        </w:rPr>
        <w:t>h i chemikaliów, ważną inicjatywę dotyczącą finansowania innowacyjnych przedsięwzięć w ramach programu badawczego UE „Horyzont 2020” oraz ukierunkowane działania w obszarach takich jak tworzywa sztuczne, marnotrawienie żywności, budownictwo, surowce krytyc</w:t>
      </w:r>
      <w:r>
        <w:rPr>
          <w:rFonts w:ascii="Times New Roman" w:hAnsi="Times New Roman"/>
          <w:noProof/>
          <w:sz w:val="24"/>
        </w:rPr>
        <w:t>zne, odpady górnicze i przemysłowe, konsumpcja i zamówienia publiczne.  Inne kluczowe wnioski ustawodawcze dotyczące nawozów i ponownego wykorzystywania wody zostaną przedstawione w późniejszym terminie.  Wreszcie we wniosku uwzględniono horyzontalne środk</w:t>
      </w:r>
      <w:r>
        <w:rPr>
          <w:rFonts w:ascii="Times New Roman" w:hAnsi="Times New Roman"/>
          <w:noProof/>
          <w:sz w:val="24"/>
        </w:rPr>
        <w:t>i wspomagające w dziedzinach takich jak innowacje i inwestycje, mające na celu pobudzanie procesu przechodzenia na gospodarkę o obiegu zamkniętym. Proponowane działania wspierają tworzenie gospodarki o obiegu zamkniętym na wszystkich etapach łańcucha warto</w:t>
      </w:r>
      <w:r>
        <w:rPr>
          <w:rFonts w:ascii="Times New Roman" w:hAnsi="Times New Roman"/>
          <w:noProof/>
          <w:sz w:val="24"/>
        </w:rPr>
        <w:t xml:space="preserve">ści – od produkcji przez konsumpcję, naprawę i regenerację po gospodarowanie odpadami i uzyskanie surowców wtórnych, które są ponownie wprowadzane do obiegu w gospodarce. Proponowane działania będą realizowane zgodnie z zasadami lepszego stanowienia prawa </w:t>
      </w:r>
      <w:r>
        <w:rPr>
          <w:rFonts w:ascii="Times New Roman" w:hAnsi="Times New Roman"/>
          <w:noProof/>
          <w:sz w:val="24"/>
        </w:rPr>
        <w:t>i z uwzględnieniem odpowiednich konsultacji i oceny skutków.</w:t>
      </w:r>
    </w:p>
    <w:p w14:paraId="5670D81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21F1AD0" w14:textId="77777777" w:rsidR="008600A5" w:rsidRDefault="00520B9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Plan działania skupia się na działaniach na poziomie UE o wysokiej wartości dodanej. Realizacja gospodarki o obiegu zamkniętym wymagać będzie długofalowego zaangażowania na wszystkich szczeblach</w:t>
      </w:r>
      <w:r>
        <w:rPr>
          <w:rFonts w:ascii="Times New Roman" w:hAnsi="Times New Roman"/>
          <w:noProof/>
          <w:sz w:val="24"/>
        </w:rPr>
        <w:t xml:space="preserve">, począwszy od państw członkowskich przez regiony i miasta, a skończywszy na przedsiębiorstwach i obywatelach. Państwa członkowskie zachęca się do pełnego uczestnictwa w działaniach UE oraz do łączenia ich z działaniami na szczeblu krajowym i uzupełniania </w:t>
      </w:r>
      <w:r>
        <w:rPr>
          <w:rFonts w:ascii="Times New Roman" w:hAnsi="Times New Roman"/>
          <w:noProof/>
          <w:sz w:val="24"/>
        </w:rPr>
        <w:t>ich o te działania. Gospodarka o obiegu zamkniętym będzie również musiała rozwinąć się na poziomie globalnym. Zwiększenie spójności polityki w działaniach wewnętrznych i zewnętrznych podejmowanych przez UE w tym obszarze będzie miało znaczenie wzmacniające</w:t>
      </w:r>
      <w:r>
        <w:rPr>
          <w:rFonts w:ascii="Times New Roman" w:hAnsi="Times New Roman"/>
          <w:noProof/>
          <w:sz w:val="24"/>
        </w:rPr>
        <w:t xml:space="preserve"> i istotnie wpłynie na realizację globalnych zobowiązań podjętych przez UE i przez państwa członkowskie UE, zwłaszcza w ramach agendy na rzecz zrównoważonego rozwoju 2030 oraz Sojuszu grupy G7 na rzecz efektywnego gospodarowania zasobami. Ten plan działani</w:t>
      </w:r>
      <w:r>
        <w:rPr>
          <w:rFonts w:ascii="Times New Roman" w:hAnsi="Times New Roman"/>
          <w:noProof/>
          <w:sz w:val="24"/>
        </w:rPr>
        <w:t xml:space="preserve">a będzie miał kluczowe znaczenie dla osiągnięcia celów zrównoważonego rozwoju do roku 2030, w szczególności celu 12. polegającego na zapewnieniu zrównoważonych wzorców konsumpcji i produkcji. </w:t>
      </w:r>
    </w:p>
    <w:p w14:paraId="3E546E56" w14:textId="77777777" w:rsidR="008600A5" w:rsidRDefault="008600A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19ABBD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Produkcja</w:t>
      </w:r>
    </w:p>
    <w:p w14:paraId="1BDE4AFA" w14:textId="77777777" w:rsidR="008600A5" w:rsidRDefault="008600A5">
      <w:pPr>
        <w:pStyle w:val="Akapitzlist"/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9EF201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Gospodarka o obiegu zamkniętym rozpoczyna się na sa</w:t>
      </w:r>
      <w:r>
        <w:rPr>
          <w:rFonts w:ascii="Times New Roman" w:hAnsi="Times New Roman"/>
          <w:noProof/>
          <w:sz w:val="24"/>
        </w:rPr>
        <w:t xml:space="preserve">mym początku cyklu życia produktu. Zarówno etap projektowania jak i produkcji mają wpływ na procesy pozyskiwania surowców, wykorzystywania zasobów i wytwarzania odpadów w całym cyklu życia produktu.  </w:t>
      </w:r>
    </w:p>
    <w:p w14:paraId="25AE6F24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EA83AF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Projekt produktu</w:t>
      </w:r>
    </w:p>
    <w:p w14:paraId="52CA8E9D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CE0629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Dzięki lepszemu </w:t>
      </w:r>
      <w:r>
        <w:rPr>
          <w:rFonts w:ascii="Times New Roman" w:hAnsi="Times New Roman"/>
          <w:noProof/>
          <w:sz w:val="24"/>
        </w:rPr>
        <w:t>projektowaniu produkty mogą być trwalsze lub łatwiejsze do naprawy, modernizacji czy regeneracji. Lepsze projektowanie może ułatwić podmiotom zajmującym się recyklingiem demontaż produktów w celu odzyskiwania cennych materiałów i komponentów. Generalnie mo</w:t>
      </w:r>
      <w:r>
        <w:rPr>
          <w:rFonts w:ascii="Times New Roman" w:hAnsi="Times New Roman"/>
          <w:noProof/>
          <w:sz w:val="24"/>
        </w:rPr>
        <w:t>że przyczynić się do zaoszczędzenia cennych zasobów. Jednak obecne sygnały rynkowe wydają się niewystarczające, by stało się to możliwe, głównie dlatego, że interesy producentów, użytkowników i podmiotów zajmujących się recyklingiem są rozbieżne. Ważne jes</w:t>
      </w:r>
      <w:r>
        <w:rPr>
          <w:rFonts w:ascii="Times New Roman" w:hAnsi="Times New Roman"/>
          <w:noProof/>
          <w:sz w:val="24"/>
        </w:rPr>
        <w:t>t zatem, aby zachęcić do lepszego projektowania produktów, przy jednoczesnym zachowaniu funkcjonowania jednolitego rynku i konkurencji oraz umożliwianiu innowacji.</w:t>
      </w:r>
    </w:p>
    <w:p w14:paraId="5DCF26A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0B247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 tym kontekście szczególne znaczenie mają produkty elektryczne i elektroniczne. Możliwość </w:t>
      </w:r>
      <w:r>
        <w:rPr>
          <w:rFonts w:ascii="Times New Roman" w:hAnsi="Times New Roman"/>
          <w:noProof/>
          <w:sz w:val="24"/>
        </w:rPr>
        <w:t>ich naprawy może być istotna dla konsumentów, a także mogą zawierać one cenne materiały, które powinny być lepiej przystosowane do recyklingu (np. metale ziem rzadkich wykorzystywane w urządzeniach elektronicznych). W celu propagowania lepszego projektowan</w:t>
      </w:r>
      <w:r>
        <w:rPr>
          <w:rFonts w:ascii="Times New Roman" w:hAnsi="Times New Roman"/>
          <w:noProof/>
          <w:sz w:val="24"/>
        </w:rPr>
        <w:t>ia produktów Komisja położy nacisk na aspekty związane z gospodarką o obiegu zamkniętym w przyszłych wymogach wynikających z dyrektywy w sprawie ekoprojektu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"/>
      </w:r>
      <w:r>
        <w:rPr>
          <w:rFonts w:ascii="Times New Roman" w:hAnsi="Times New Roman"/>
          <w:noProof/>
          <w:sz w:val="24"/>
        </w:rPr>
        <w:t>, której celem jest poprawa efektywności i ekologiczności produktów związanych z energią.</w:t>
      </w:r>
      <w:r>
        <w:rPr>
          <w:noProof/>
        </w:rPr>
        <w:t xml:space="preserve"> </w:t>
      </w:r>
      <w:r>
        <w:rPr>
          <w:rFonts w:ascii="Times New Roman" w:hAnsi="Times New Roman"/>
          <w:noProof/>
          <w:sz w:val="24"/>
        </w:rPr>
        <w:t>Dotychczasowe wymogi dotyczące ekoprojektu były głównie ukierunkowane na efektywność energetyczną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"/>
      </w:r>
      <w:r>
        <w:rPr>
          <w:rFonts w:ascii="Times New Roman" w:hAnsi="Times New Roman"/>
          <w:noProof/>
          <w:sz w:val="24"/>
        </w:rPr>
        <w:t>; w przyszłości kwestie takie jak trwałość, możliwość naprawy, możliwość ponownego użycia oraz podatność recyklingowa lub identyfikowalność niektórych materi</w:t>
      </w:r>
      <w:r>
        <w:rPr>
          <w:rFonts w:ascii="Times New Roman" w:hAnsi="Times New Roman"/>
          <w:noProof/>
          <w:sz w:val="24"/>
        </w:rPr>
        <w:t>ałów lub substancji będą systematycznie badane. Komisja przeanalizuje te kwestie w odniesieniu do poszczególnych produktów w nowych planach działań i przeglądach, uwzględniając specyfikę różnych produktów i związane z nimi wyzwania (takie jak cykle innowac</w:t>
      </w:r>
      <w:r>
        <w:rPr>
          <w:rFonts w:ascii="Times New Roman" w:hAnsi="Times New Roman"/>
          <w:noProof/>
          <w:sz w:val="24"/>
        </w:rPr>
        <w:t xml:space="preserve">ji) w ścisłej współpracy z odpowiednimi zainteresowanymi stronami. </w:t>
      </w:r>
    </w:p>
    <w:p w14:paraId="1981F758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9FA9AD9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pierwszej kolejności oraz w ramach dyrektywy w sprawie ekoprojektu Komisja opracowała i wkrótce przedstawi państwom członkowskim obowiązkowe wymagania dotyczące projektowania i oznaczan</w:t>
      </w:r>
      <w:r>
        <w:rPr>
          <w:rFonts w:ascii="Times New Roman" w:hAnsi="Times New Roman"/>
          <w:noProof/>
          <w:sz w:val="24"/>
        </w:rPr>
        <w:t xml:space="preserve">ia produktów, aby ułatwić bezpieczny demontaż, ponowne użycie i recykling wyświetlaczy elektronicznych (np. płaskich ekranów komputerów lub telewizorów). </w:t>
      </w:r>
    </w:p>
    <w:p w14:paraId="0E13534C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6F43A2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 wnioskuje również o zachęcanie do lepszego projektowania produktów poprzez zróżnicowanie poz</w:t>
      </w:r>
      <w:r>
        <w:rPr>
          <w:rFonts w:ascii="Times New Roman" w:hAnsi="Times New Roman"/>
          <w:noProof/>
          <w:sz w:val="24"/>
        </w:rPr>
        <w:t xml:space="preserve">iomu wkładów finansowych płaconych przez producentów w ramach systemów rozszerzonej odpowiedzialności producenta, na podstawie kosztów związanych z </w:t>
      </w:r>
      <w:r>
        <w:rPr>
          <w:rFonts w:ascii="Times New Roman" w:hAnsi="Times New Roman"/>
          <w:noProof/>
          <w:sz w:val="24"/>
        </w:rPr>
        <w:lastRenderedPageBreak/>
        <w:t>utylizacją produktów. Powinno to stworzyć bezpośredni bodziec ekonomiczny, by wytwarzać produkty, które możn</w:t>
      </w:r>
      <w:r>
        <w:rPr>
          <w:rFonts w:ascii="Times New Roman" w:hAnsi="Times New Roman"/>
          <w:noProof/>
          <w:sz w:val="24"/>
        </w:rPr>
        <w:t>a łatwiej poddać recyklingowi lub ponownie użyć.</w:t>
      </w:r>
    </w:p>
    <w:p w14:paraId="45825A18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C7260F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Na koniec Komisja przeanalizuje warianty i działania pod kątem ich wkładu w gospodarkę o obiegu zamkniętym w taki sposób, by nadać bardziej spójne ramy polityczne różnym obszarom prac w trakcie tworzenia un</w:t>
      </w:r>
      <w:r>
        <w:rPr>
          <w:rFonts w:ascii="Times New Roman" w:hAnsi="Times New Roman"/>
          <w:noProof/>
          <w:sz w:val="24"/>
        </w:rPr>
        <w:t>ijnej polityki produktu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"/>
      </w:r>
      <w:r>
        <w:rPr>
          <w:rFonts w:ascii="Times New Roman" w:hAnsi="Times New Roman"/>
          <w:noProof/>
          <w:sz w:val="24"/>
        </w:rPr>
        <w:t>.</w:t>
      </w:r>
    </w:p>
    <w:p w14:paraId="570BD10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5F19F6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w swoich przyszłych pracach w ramach dyrektywy w sprawie ekoprojektu będzie rozpowszechniać możliwości naprawy i modernizacji, trwałość i możliwość recyklingu produktów, opracowując dotyczące produktów wymogi istotne d</w:t>
      </w:r>
      <w:r>
        <w:rPr>
          <w:rFonts w:ascii="Times New Roman" w:hAnsi="Times New Roman"/>
          <w:i/>
          <w:noProof/>
          <w:sz w:val="24"/>
        </w:rPr>
        <w:t>la gospodarki o obiegu zamkniętym w odpowiednich przypadkach i z uwzględnieniem specyfiki różnych grup produktów. Sposób, w jaki cel ten będzie realizowany zostanie przedstawiony w planie działań w dziedzinie ekoprojektu na lata 2015 – 2017. Komisja Europe</w:t>
      </w:r>
      <w:r>
        <w:rPr>
          <w:rFonts w:ascii="Times New Roman" w:hAnsi="Times New Roman"/>
          <w:i/>
          <w:noProof/>
          <w:sz w:val="24"/>
        </w:rPr>
        <w:t xml:space="preserve">jska wkrótce przedstawi również wymogi dotyczące ekoprojektu dla wyświetlaczy elektronicznych. </w:t>
      </w:r>
    </w:p>
    <w:p w14:paraId="0A73EE74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Zmienione wnioski ustawodawcze w sprawie odpadów stwarzają zachętę gospodarczą do lepszego projektowania produktu w drodze przepisów dotyczących rozszerzonej </w:t>
      </w:r>
      <w:r>
        <w:rPr>
          <w:rFonts w:ascii="Times New Roman" w:hAnsi="Times New Roman"/>
          <w:i/>
          <w:noProof/>
          <w:sz w:val="24"/>
        </w:rPr>
        <w:t>odpowiedzialności producenta.</w:t>
      </w:r>
    </w:p>
    <w:p w14:paraId="1C8F83D4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Komisja przeanalizuje warianty i działania pod kątem ich wkładu w gospodarkę o obiegu zamkniętym w taki sposób,  by nadać bardziej spójne ramy polityczne różnym obszarom prac w trakcie tworzenia unijnej polityki produktu. </w:t>
      </w:r>
    </w:p>
    <w:p w14:paraId="48C10B85" w14:textId="77777777" w:rsidR="008600A5" w:rsidRDefault="008600A5">
      <w:pPr>
        <w:pStyle w:val="Akapitzlist"/>
        <w:spacing w:after="0"/>
        <w:ind w:left="79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0E3CD4D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Procesy produkcyjne</w:t>
      </w:r>
    </w:p>
    <w:p w14:paraId="2E47D09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1A5E5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Nawet w przypadku produktów lub materiałów zaprojektowanych w sposób inteligentny nieefektywne wykorzystanie zasobów w procesach produkcyjnych może prowadzić do utraty możliwości biznesowych i wytwarzania znacznej ilości odpadów. </w:t>
      </w:r>
    </w:p>
    <w:p w14:paraId="52A1100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7EFFA9E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Sur</w:t>
      </w:r>
      <w:r>
        <w:rPr>
          <w:rFonts w:ascii="Times New Roman" w:hAnsi="Times New Roman"/>
          <w:noProof/>
          <w:sz w:val="24"/>
        </w:rPr>
        <w:t>owce pierwotne, w tym materiały odnawialne, będą nadal odgrywać ważną rolę w procesach produkcyjnych, nawet w gospodarce o obiegu zamkniętym. W tym kontekście należy zwrócić uwagę na skutki środowiskowe i społeczne produkcji, zarówno w UE, jak i w państwac</w:t>
      </w:r>
      <w:r>
        <w:rPr>
          <w:rFonts w:ascii="Times New Roman" w:hAnsi="Times New Roman"/>
          <w:noProof/>
          <w:sz w:val="24"/>
        </w:rPr>
        <w:t>h trzecich. W związku z tym Komisja wspiera zrównoważone pozyskiwanie surowców w skali globalnej, na przykład za pomocą dialogu politycznego, współpracy oraz polityki handlowej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i polityki rozwoju. Przemysł ma do odegrania kluczową rolę, podejmując konkre</w:t>
      </w:r>
      <w:r>
        <w:rPr>
          <w:rFonts w:ascii="Times New Roman" w:hAnsi="Times New Roman"/>
          <w:noProof/>
          <w:sz w:val="24"/>
        </w:rPr>
        <w:t xml:space="preserve">tne zobowiązania do zrównoważonego pozyskiwania zasobów i współpracę pomiędzy różnymi łańcuchami wartości. </w:t>
      </w:r>
    </w:p>
    <w:p w14:paraId="1C6E235E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4F87D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Każdy sektor przemysłu jest inny pod względem wykorzystywania zasobów, wytwarzania odpadów i gospodarowania nimi. Dlatego Komisja będzie dalej </w:t>
      </w:r>
      <w:r>
        <w:rPr>
          <w:rFonts w:ascii="Times New Roman" w:hAnsi="Times New Roman"/>
          <w:noProof/>
          <w:sz w:val="24"/>
        </w:rPr>
        <w:t>propagować najlepsze praktyki w różnych sektorach przemysłowych, publikując dokumenty referencyjne dotyczące najlepszych dostępnych technik (BREF), które państwa członkowskie muszą uwzględniać przy wydawaniu zezwoleń instalacjom przemysłowym, oraz będzie p</w:t>
      </w:r>
      <w:r>
        <w:rPr>
          <w:rFonts w:ascii="Times New Roman" w:hAnsi="Times New Roman"/>
          <w:noProof/>
          <w:sz w:val="24"/>
        </w:rPr>
        <w:t xml:space="preserve">ropagować najlepsze </w:t>
      </w:r>
      <w:r>
        <w:rPr>
          <w:rFonts w:ascii="Times New Roman" w:hAnsi="Times New Roman"/>
          <w:noProof/>
          <w:sz w:val="24"/>
        </w:rPr>
        <w:lastRenderedPageBreak/>
        <w:t>praktyki w zakresie odpadów górniczych. Tworząc Europejskie Centrum Doskonałości w dziedzinie Zasobooszczędności, Komisja wspiera również MŚP w czerpaniu korzyści z możliwości biznesowych jakie stwarza zwiększona wydajność zasobów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6"/>
      </w:r>
      <w:r>
        <w:rPr>
          <w:rFonts w:ascii="Times New Roman" w:hAnsi="Times New Roman"/>
          <w:noProof/>
          <w:sz w:val="24"/>
        </w:rPr>
        <w:t>. Pr</w:t>
      </w:r>
      <w:r>
        <w:rPr>
          <w:rFonts w:ascii="Times New Roman" w:hAnsi="Times New Roman"/>
          <w:noProof/>
          <w:sz w:val="24"/>
        </w:rPr>
        <w:t>zykładowe działania w tym obszarze to ułatwianie zastępowania chemikaliów potencjalnie niebezpiecznych lub ułatwianie dostępu MŚP do innowacyjnych technologii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7"/>
      </w:r>
      <w:r>
        <w:rPr>
          <w:rFonts w:ascii="Times New Roman" w:hAnsi="Times New Roman"/>
          <w:noProof/>
          <w:sz w:val="24"/>
        </w:rPr>
        <w:t>. Zwiększenie wydajności i wykorzystania unijnego systemu ekozarządzania i audytu (EMAS)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8"/>
      </w:r>
      <w:r>
        <w:rPr>
          <w:rFonts w:ascii="Times New Roman" w:hAnsi="Times New Roman"/>
          <w:noProof/>
          <w:sz w:val="24"/>
        </w:rPr>
        <w:t xml:space="preserve"> oraz </w:t>
      </w:r>
      <w:r>
        <w:rPr>
          <w:rFonts w:ascii="Times New Roman" w:hAnsi="Times New Roman"/>
          <w:noProof/>
          <w:sz w:val="24"/>
        </w:rPr>
        <w:t>program pilotażowy w sprawie weryfikacji technologii ochrony środowiska (ETV)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9"/>
      </w:r>
      <w:r>
        <w:rPr>
          <w:rFonts w:ascii="Times New Roman" w:hAnsi="Times New Roman"/>
          <w:noProof/>
          <w:sz w:val="24"/>
        </w:rPr>
        <w:t xml:space="preserve"> mogą również przynieść korzyści przedsiębiorstwom, w szczególności MŚP.</w:t>
      </w:r>
    </w:p>
    <w:p w14:paraId="2E1A3F6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FE600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Ponadto ważne jest, by wspierać innowacyjne procesy przemysłowe. Na przykład symbioza przemysłowa spraw</w:t>
      </w:r>
      <w:r>
        <w:rPr>
          <w:rFonts w:ascii="Times New Roman" w:hAnsi="Times New Roman"/>
          <w:noProof/>
          <w:sz w:val="24"/>
        </w:rPr>
        <w:t>ia, że odpady lub produkty uboczne z jednego sektora przemysłu stają się surowcem dla innego. W swoich zmienionych wnioskach dotyczących odpadów Komisja proponuje działania ułatwiające tę praktykę i będzie współpracować z państwami członkowskimi w celu zap</w:t>
      </w:r>
      <w:r>
        <w:rPr>
          <w:rFonts w:ascii="Times New Roman" w:hAnsi="Times New Roman"/>
          <w:noProof/>
          <w:sz w:val="24"/>
        </w:rPr>
        <w:t>ewnienia jednolitej interpretacji przepisów dotyczących produktów ubocznych. Ponowne wykorzystanie zanieczyszczeń gazowych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0"/>
      </w:r>
      <w:r>
        <w:rPr>
          <w:rFonts w:ascii="Times New Roman" w:hAnsi="Times New Roman"/>
          <w:noProof/>
          <w:sz w:val="24"/>
        </w:rPr>
        <w:t xml:space="preserve"> jest innym przykładem innowacyjnego procesu. Regeneracja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 jest kolejnym obszarem o dużym potencjale: jest to już powszechna praktyka w niektórych branżach, takich jak sektor samochodowy lub maszyn przemysłowych, ale mogłaby być stosowana w odniesieniu do nowych sektorów. UE wspiera takie obiecujące nowe rozwiąza</w:t>
      </w:r>
      <w:r>
        <w:rPr>
          <w:rFonts w:ascii="Times New Roman" w:hAnsi="Times New Roman"/>
          <w:noProof/>
          <w:sz w:val="24"/>
        </w:rPr>
        <w:t>nia za pośrednictwem swojego programu finansowania badań naukowych i innowacji, Horyzont 2020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2"/>
      </w:r>
      <w:r>
        <w:rPr>
          <w:rFonts w:ascii="Times New Roman" w:hAnsi="Times New Roman"/>
          <w:noProof/>
          <w:sz w:val="24"/>
        </w:rPr>
        <w:t>, oraz funduszy polityki spójności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3"/>
      </w:r>
      <w:r>
        <w:rPr>
          <w:rFonts w:ascii="Times New Roman" w:hAnsi="Times New Roman"/>
          <w:noProof/>
          <w:sz w:val="24"/>
        </w:rPr>
        <w:t xml:space="preserve">. </w:t>
      </w:r>
    </w:p>
    <w:p w14:paraId="1CB5D231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4D74C0" w14:textId="77777777" w:rsidR="008600A5" w:rsidRDefault="00520B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– Komisja będzie podawać wskazówki dotyczące najlepszych praktyk w zakresie gospodarowania odpadami i efektywnego gospoda</w:t>
      </w:r>
      <w:r>
        <w:rPr>
          <w:rFonts w:ascii="Times New Roman" w:hAnsi="Times New Roman"/>
          <w:i/>
          <w:noProof/>
          <w:sz w:val="24"/>
        </w:rPr>
        <w:t>rowania zasobami w sektorze przemysłowym w dokumentach referencyjnych dotyczących najlepszych dostępnych technik (BREF)</w:t>
      </w:r>
      <w:r>
        <w:rPr>
          <w:rStyle w:val="Odwoanieprzypisudolnego"/>
          <w:rFonts w:ascii="Times New Roman" w:hAnsi="Times New Roman"/>
          <w:i/>
          <w:noProof/>
          <w:sz w:val="24"/>
        </w:rPr>
        <w:footnoteReference w:id="14"/>
      </w:r>
    </w:p>
    <w:p w14:paraId="6484A025" w14:textId="77777777" w:rsidR="008600A5" w:rsidRDefault="00520B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oraz wyda wytyczne i będzie upowszechniać najlepsze praktyki w zakresie odpadów górniczych.</w:t>
      </w:r>
    </w:p>
    <w:p w14:paraId="4F00A6B3" w14:textId="77777777" w:rsidR="008600A5" w:rsidRDefault="00520B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– Komisja proponuje (w zmienionych wnioska</w:t>
      </w:r>
      <w:r>
        <w:rPr>
          <w:rFonts w:ascii="Times New Roman" w:hAnsi="Times New Roman"/>
          <w:i/>
          <w:noProof/>
          <w:sz w:val="24"/>
        </w:rPr>
        <w:t>ch ustawodawczych w sprawie odpadów), aby doprecyzować zasady dotyczące produktów ubocznych, ułatwić symbiozę przemysłową i umożliwiać tworzenie równych warunków działania w całej UE.</w:t>
      </w:r>
    </w:p>
    <w:p w14:paraId="6707F326" w14:textId="77777777" w:rsidR="008600A5" w:rsidRDefault="008600A5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3707D5A4" w14:textId="77777777" w:rsidR="008600A5" w:rsidRDefault="00520B94">
      <w:pPr>
        <w:pStyle w:val="Akapitzlist"/>
        <w:keepNext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Konsumpcja</w:t>
      </w:r>
    </w:p>
    <w:p w14:paraId="429BD071" w14:textId="77777777" w:rsidR="008600A5" w:rsidRDefault="008600A5">
      <w:pPr>
        <w:keepNext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E984D0C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Wybory dokonywane przez miliony konsumentów mogą wspierać r</w:t>
      </w:r>
      <w:r>
        <w:rPr>
          <w:rFonts w:ascii="Times New Roman" w:hAnsi="Times New Roman"/>
          <w:noProof/>
          <w:sz w:val="24"/>
        </w:rPr>
        <w:t xml:space="preserve">ozwój gospodarki o obiegu zamkniętym lub go utrudniać. Te decyzje zależą od informacji, do których dostęp </w:t>
      </w:r>
      <w:r>
        <w:rPr>
          <w:rFonts w:ascii="Times New Roman" w:hAnsi="Times New Roman"/>
          <w:noProof/>
          <w:sz w:val="24"/>
        </w:rPr>
        <w:lastRenderedPageBreak/>
        <w:t xml:space="preserve">mają konsumenci, asortymentu i cen oferowanych produktów oraz istniejących ram regulacyjnych. Ten etap ma również kluczowe znaczenie dla zapobiegania </w:t>
      </w:r>
      <w:r>
        <w:rPr>
          <w:rFonts w:ascii="Times New Roman" w:hAnsi="Times New Roman"/>
          <w:noProof/>
          <w:sz w:val="24"/>
        </w:rPr>
        <w:t xml:space="preserve">powstawaniu odpadów z gospodarstw domowych i ograniczenia go. </w:t>
      </w:r>
    </w:p>
    <w:p w14:paraId="63D0C8EE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 związku z dużą liczbą etykiet i twierdzeń dotyczących ekologiczności, unijnym konsumentom często trudno jest rozróżnić produkty i ufać dostępnym informacjom. Twierdzenia dotyczące </w:t>
      </w:r>
      <w:r>
        <w:rPr>
          <w:rFonts w:ascii="Times New Roman" w:hAnsi="Times New Roman"/>
          <w:noProof/>
          <w:sz w:val="24"/>
        </w:rPr>
        <w:t>ekologiczności mogą czasem nie spełniać wymogów prawnych dotyczących wiarygodności, dokładności i jasności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5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Komisja współpracuje z zainteresowanymi stronami, aby twierdzenia dotyczące ekologiczności stały się bardziej godne zaufania oraz zapewni lepsze e</w:t>
      </w:r>
      <w:r>
        <w:rPr>
          <w:rFonts w:ascii="Times New Roman" w:hAnsi="Times New Roman"/>
          <w:noProof/>
          <w:sz w:val="24"/>
        </w:rPr>
        <w:t>gzekwowanie obowiązujących przepisów, w tym dzięki zaktualizowaniu wytycznych w sprawie nieuczciwych praktyk handlowych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6"/>
      </w:r>
      <w:r>
        <w:rPr>
          <w:rFonts w:ascii="Times New Roman" w:hAnsi="Times New Roman"/>
          <w:noProof/>
          <w:sz w:val="24"/>
        </w:rPr>
        <w:t>. Komisja obecnie bada ślad środowiskowy produktu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7"/>
      </w:r>
      <w:r>
        <w:rPr>
          <w:rFonts w:ascii="Times New Roman" w:hAnsi="Times New Roman"/>
          <w:noProof/>
          <w:sz w:val="24"/>
        </w:rPr>
        <w:t>, metodę pomiaru efektywności środowiskowej produktów, oraz zbada możliwości zastoso</w:t>
      </w:r>
      <w:r>
        <w:rPr>
          <w:rFonts w:ascii="Times New Roman" w:hAnsi="Times New Roman"/>
          <w:noProof/>
          <w:sz w:val="24"/>
        </w:rPr>
        <w:t>wania tej metody do mierzenia lub przekazywania informacji dotyczących ekologiczności. Dobrowolne oznakowanie ekologiczne UE przyznawane jest produktom, które wywierają ograniczony wpływ na środowisko w całym ich cyklu życia. Komisja zbada, w jaki sposób m</w:t>
      </w:r>
      <w:r>
        <w:rPr>
          <w:rFonts w:ascii="Times New Roman" w:hAnsi="Times New Roman"/>
          <w:noProof/>
          <w:sz w:val="24"/>
        </w:rPr>
        <w:t>ożna zwiększyć jego efektywność oraz wkład w gospodarkę o obiegu zamkniętym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8"/>
      </w:r>
      <w:r>
        <w:rPr>
          <w:noProof/>
        </w:rPr>
        <w:t>.</w:t>
      </w:r>
    </w:p>
    <w:p w14:paraId="5BB9512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F6B980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Na początku tego roku Komisja zaproponowała poprawiony system etykietowania efektywności energetycznej w odniesieniu do urządzeń gospodarstwa domowego i innych produktów związa</w:t>
      </w:r>
      <w:r>
        <w:rPr>
          <w:rFonts w:ascii="Times New Roman" w:hAnsi="Times New Roman"/>
          <w:noProof/>
          <w:sz w:val="24"/>
        </w:rPr>
        <w:t>nych z energią, który pomoże konsumentom wybrać najbardziej energooszczędne produkty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19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Proponowany system umożliwi również umieszczanie na produktach związanych z energią przydatnych dla konsumentów informacji dotyczących efektywności środowiskowej, w tym</w:t>
      </w:r>
      <w:r>
        <w:rPr>
          <w:rFonts w:ascii="Times New Roman" w:hAnsi="Times New Roman"/>
          <w:noProof/>
          <w:sz w:val="24"/>
        </w:rPr>
        <w:t xml:space="preserve"> trwałości produktów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0"/>
      </w:r>
      <w:r>
        <w:rPr>
          <w:rFonts w:ascii="Times New Roman" w:hAnsi="Times New Roman"/>
          <w:noProof/>
          <w:sz w:val="24"/>
        </w:rPr>
        <w:t xml:space="preserve">. </w:t>
      </w:r>
    </w:p>
    <w:p w14:paraId="0DB3B08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18864F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Cena jest kluczowym czynnikiem wpływającym na decyzje zakupowe, zarówno w ramach łańcucha wartości i u konsumentów końcowych. Zachęca się zatem państwa członkowskie do przewidzenia bodźców i korzystania z instrumentów ekonomicznyc</w:t>
      </w:r>
      <w:r>
        <w:rPr>
          <w:rFonts w:ascii="Times New Roman" w:hAnsi="Times New Roman"/>
          <w:noProof/>
          <w:sz w:val="24"/>
        </w:rPr>
        <w:t>h, takich jak podatki, celem zapewnienia, aby ceny produktów lepiej odzwierciedlały koszty środowiskowe. Aspekty związane z gwarancjami, takie jak okres gwarancji prawnej i przeniesienie ciężaru dowodu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1"/>
      </w:r>
      <w:r>
        <w:rPr>
          <w:rFonts w:ascii="Times New Roman" w:hAnsi="Times New Roman"/>
          <w:noProof/>
          <w:sz w:val="24"/>
        </w:rPr>
        <w:t>, również stanowią istotny element układanki, jaką je</w:t>
      </w:r>
      <w:r>
        <w:rPr>
          <w:rFonts w:ascii="Times New Roman" w:hAnsi="Times New Roman"/>
          <w:noProof/>
          <w:sz w:val="24"/>
        </w:rPr>
        <w:t xml:space="preserve">st konsumpcja, ponieważ mogą one chronić konsumentów przed wadliwymi produktami i przyczynić się do trwałości produktów i możliwości ich naprawy, zapobiegając ich wyrzucaniu. Towary fizyczne </w:t>
      </w:r>
      <w:r>
        <w:rPr>
          <w:rFonts w:ascii="Times New Roman" w:hAnsi="Times New Roman"/>
          <w:noProof/>
          <w:sz w:val="24"/>
        </w:rPr>
        <w:lastRenderedPageBreak/>
        <w:t>obejmuje w UE dwuletnia gwarancja prawna, lecz nadal występują tr</w:t>
      </w:r>
      <w:r>
        <w:rPr>
          <w:rFonts w:ascii="Times New Roman" w:hAnsi="Times New Roman"/>
          <w:noProof/>
          <w:sz w:val="24"/>
        </w:rPr>
        <w:t>udności w jej egzekwowaniu. Komisja zajmie się takimi kwestiami, zwłaszcza w kontekście przygotowywanego przez nią wniosku w sprawie internetowej sprzedaży towarów. Oceni ona również główne elementy prawodawstwa dotyczącego konsumentów i rozważy możliwe ud</w:t>
      </w:r>
      <w:r>
        <w:rPr>
          <w:rFonts w:ascii="Times New Roman" w:hAnsi="Times New Roman"/>
          <w:noProof/>
          <w:sz w:val="24"/>
        </w:rPr>
        <w:t>oskonalenia</w:t>
      </w:r>
      <w:r>
        <w:rPr>
          <w:rFonts w:ascii="Times New Roman" w:hAnsi="Times New Roman"/>
          <w:noProof/>
          <w:color w:val="000000"/>
          <w:vertAlign w:val="superscript"/>
        </w:rPr>
        <w:footnoteReference w:id="22"/>
      </w:r>
      <w:r>
        <w:rPr>
          <w:rFonts w:ascii="Times New Roman" w:hAnsi="Times New Roman"/>
          <w:noProof/>
          <w:color w:val="000000"/>
        </w:rPr>
        <w:t>.</w:t>
      </w:r>
      <w:r>
        <w:rPr>
          <w:rFonts w:ascii="Times New Roman" w:hAnsi="Times New Roman"/>
          <w:noProof/>
          <w:sz w:val="24"/>
        </w:rPr>
        <w:t xml:space="preserve"> </w:t>
      </w:r>
    </w:p>
    <w:p w14:paraId="28953DFB" w14:textId="77777777" w:rsidR="008600A5" w:rsidRDefault="008600A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0778427" w14:textId="77777777" w:rsidR="008600A5" w:rsidRDefault="00520B9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Po tym jak produkt został zakupiony, jego cykl życia można przedłużyć w drodze ponownego użycia i napraw, zapobiegając tym samym marnotrawstwu. Sektory ponownego użycia i napraw są pracochłonne, przyczyniają się zatem do </w:t>
      </w:r>
      <w:r>
        <w:rPr>
          <w:rFonts w:ascii="Times New Roman" w:hAnsi="Times New Roman"/>
          <w:noProof/>
          <w:sz w:val="24"/>
        </w:rPr>
        <w:t>realizacji celów unijnej agendy społecznej i zatrudnienia. Obecnie niektórych produktów nie można naprawić ze względu na ich konstrukcję albo dlatego, że części zamienne lub informacje dotyczące naprawy nie są dostępne. Przyszłe prace w zakresie ekoprojekt</w:t>
      </w:r>
      <w:r>
        <w:rPr>
          <w:rFonts w:ascii="Times New Roman" w:hAnsi="Times New Roman"/>
          <w:noProof/>
          <w:sz w:val="24"/>
        </w:rPr>
        <w:t>u produktów (zob. sekcja 1.1) przyczynią się do tego, że produkty staną się trwalsze i łatwiej będzie je naprawić: w szczególności zostaną uwzględnione wymogi dotyczące dostępności części zamiennych i informacji dotyczących naprawy (np. w formie podręcznik</w:t>
      </w:r>
      <w:r>
        <w:rPr>
          <w:rFonts w:ascii="Times New Roman" w:hAnsi="Times New Roman"/>
          <w:noProof/>
          <w:sz w:val="24"/>
        </w:rPr>
        <w:t>ów naprawy dostępnych online), w tym w drodze analizy możliwości wprowadzenia wymogów horyzontalnych w odniesieniu do udostępniania informacji dotyczących napraw. Praktyki sztucznego skracania cyklu życia produktów mogą również ograniczać ich okres użytkow</w:t>
      </w:r>
      <w:r>
        <w:rPr>
          <w:rFonts w:ascii="Times New Roman" w:hAnsi="Times New Roman"/>
          <w:noProof/>
          <w:sz w:val="24"/>
        </w:rPr>
        <w:t>ania.</w:t>
      </w:r>
      <w:r>
        <w:rPr>
          <w:rFonts w:ascii="Times New Roman" w:hAnsi="Times New Roman"/>
          <w:i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W ramach niezależnego programu badaniu Komisja rozpocznie prace mające na celu wykrywanie takich praktyk i określenie sposobów ich rozwiązania. Ponadto zmienione wnioski ustawodawcze w sprawie odpadów zawierają nowe przepisy mające na celu lepsze prz</w:t>
      </w:r>
      <w:r>
        <w:rPr>
          <w:rFonts w:ascii="Times New Roman" w:hAnsi="Times New Roman"/>
          <w:noProof/>
          <w:sz w:val="24"/>
        </w:rPr>
        <w:t xml:space="preserve">ygotowanie odpadów do ponownego użycia. Państwa członkowskie, a także organy lokalne i regionalne również mają do odegrania ważną rolę w zachęcaniu do ponownego użycia i napraw, a niektóre z nich już podjęły inicjatywy w tej dziedzinie. </w:t>
      </w:r>
    </w:p>
    <w:p w14:paraId="041587F7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Inne działania moż</w:t>
      </w:r>
      <w:r>
        <w:rPr>
          <w:rFonts w:ascii="Times New Roman" w:hAnsi="Times New Roman"/>
          <w:noProof/>
          <w:sz w:val="24"/>
        </w:rPr>
        <w:t>na podjąć w celu zmniejszenia ilości odpadów z gospodarstw domowych. Działania te są często bardziej skuteczne wówczas, gdy podejmuje się je na szczeblu krajowym i lokalnym, gdzie mogą być lepiej ukierunkowane: szczególnie skuteczne okazały się kampanie in</w:t>
      </w:r>
      <w:r>
        <w:rPr>
          <w:rFonts w:ascii="Times New Roman" w:hAnsi="Times New Roman"/>
          <w:noProof/>
          <w:sz w:val="24"/>
        </w:rPr>
        <w:t>formacyjne i zachęty finansowe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3"/>
      </w:r>
      <w:r>
        <w:rPr>
          <w:rFonts w:ascii="Times New Roman" w:hAnsi="Times New Roman"/>
          <w:noProof/>
          <w:sz w:val="24"/>
        </w:rPr>
        <w:t>. Komisja wspiera zapobieganie powstawaniu odpadów i ponowne użycie poprzez wymianę informacji i najlepszych praktyk oraz zapewnienie finansowania w ramach polityki spójności dla projektów na szczeblu lokalnym i regionalnym,</w:t>
      </w:r>
      <w:r>
        <w:rPr>
          <w:rFonts w:ascii="Times New Roman" w:hAnsi="Times New Roman"/>
          <w:noProof/>
          <w:sz w:val="24"/>
        </w:rPr>
        <w:t xml:space="preserve"> w tym w ramach współpracy międzyregionalnej. </w:t>
      </w:r>
    </w:p>
    <w:p w14:paraId="490DC04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958BC9" w14:textId="77777777" w:rsidR="008600A5" w:rsidRDefault="00520B94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Rozwój gospodarki o obiegu zamkniętym mogą również wspierać innowacyjne formy konsumpcji, takie jak korzystanie z tych samych produktów lub infrastruktury (gospodarka dzielenia się), konsumpcja usług, a nie p</w:t>
      </w:r>
      <w:r>
        <w:rPr>
          <w:rFonts w:ascii="Times New Roman" w:hAnsi="Times New Roman"/>
          <w:noProof/>
          <w:sz w:val="24"/>
        </w:rPr>
        <w:t>roduktów oraz korzystanie z technologii informacyjnych lub platform cyfrowych. Te nowe style konsumpcji są często opracowywane przez przedsiębiorców lub obywateli i rozpowszechniane na poziomie krajowym, regionalnym i lokalnym. Komisja popiera wprowadzenie</w:t>
      </w:r>
      <w:r>
        <w:rPr>
          <w:rFonts w:ascii="Times New Roman" w:hAnsi="Times New Roman"/>
          <w:noProof/>
          <w:sz w:val="24"/>
        </w:rPr>
        <w:t xml:space="preserve"> tych nowych modeli biznesu i konsumpcji za pośrednictwem programu „Horyzont 2020” i funduszy polityki spójności (zob. </w:t>
      </w:r>
      <w:r>
        <w:rPr>
          <w:rFonts w:ascii="Times New Roman" w:hAnsi="Times New Roman"/>
          <w:noProof/>
          <w:sz w:val="24"/>
        </w:rPr>
        <w:lastRenderedPageBreak/>
        <w:t>również sekcja 6). Jak zapowiedziano w strategii jednolitego rynku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4"/>
      </w:r>
      <w:r>
        <w:rPr>
          <w:rFonts w:ascii="Times New Roman" w:hAnsi="Times New Roman"/>
          <w:noProof/>
          <w:sz w:val="24"/>
        </w:rPr>
        <w:t>, Komisja opracuje również europejski program dotyczący gospodarki dz</w:t>
      </w:r>
      <w:r>
        <w:rPr>
          <w:rFonts w:ascii="Times New Roman" w:hAnsi="Times New Roman"/>
          <w:noProof/>
          <w:sz w:val="24"/>
        </w:rPr>
        <w:t>ielenia się.</w:t>
      </w:r>
    </w:p>
    <w:p w14:paraId="17207683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36F46EC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Zamówienia publiczne stanowią dużą część europejskiej konsumpcji (prawie 20 % PKB UE). Mogą więc odegrać kluczową rolę w przejściu na gospodarkę o obiegu zamkniętym, a Komisja będzie do tego zachęcać poprzez swoje działania w zakresie zielony</w:t>
      </w:r>
      <w:r>
        <w:rPr>
          <w:rFonts w:ascii="Times New Roman" w:hAnsi="Times New Roman"/>
          <w:noProof/>
          <w:sz w:val="24"/>
        </w:rPr>
        <w:t>ch zamówień publicznych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5"/>
      </w:r>
      <w:r>
        <w:rPr>
          <w:rFonts w:ascii="Times New Roman" w:hAnsi="Times New Roman"/>
          <w:noProof/>
          <w:sz w:val="24"/>
        </w:rPr>
        <w:t>, w przypadku gdy kryteria zostały opracowane na szczeblu UE, a następnie wykorzystane przez organy publiczne na zasadzie dobrowolności. Po pierwsze, Komisja dopilnuje, aby w przyszłości, przy ustalaniu lub zmianie kryteriów, szcze</w:t>
      </w:r>
      <w:r>
        <w:rPr>
          <w:rFonts w:ascii="Times New Roman" w:hAnsi="Times New Roman"/>
          <w:noProof/>
          <w:sz w:val="24"/>
        </w:rPr>
        <w:t>gólny nacisk położono na zagadnienia istotne dla gospodarki o obiegu zamkniętym, takie jak trwałość i możliwość naprawy. Po drugie, Komisja będzie zachęcać do stosowania tych kryteriów przez organy publiczne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6"/>
      </w:r>
      <w:r>
        <w:rPr>
          <w:rFonts w:ascii="Times New Roman" w:hAnsi="Times New Roman"/>
          <w:noProof/>
          <w:sz w:val="24"/>
        </w:rPr>
        <w:t>, a także zastanowi się nad tym, jak zielone za</w:t>
      </w:r>
      <w:r>
        <w:rPr>
          <w:rFonts w:ascii="Times New Roman" w:hAnsi="Times New Roman"/>
          <w:noProof/>
          <w:sz w:val="24"/>
        </w:rPr>
        <w:t>mówienia publiczne mogłyby być szerzej stosowane w całej UE, w szczególności w odniesieniu do produktów lub rynków, które mają duże znaczenie dla gospodarki o obiegu zamkniętym. Wreszcie Komisja będzie dawać przykład, dopilnowując, aby zielone zamówienia p</w:t>
      </w:r>
      <w:r>
        <w:rPr>
          <w:rFonts w:ascii="Times New Roman" w:hAnsi="Times New Roman"/>
          <w:noProof/>
          <w:sz w:val="24"/>
        </w:rPr>
        <w:t>ubliczne były wykorzystywane w jak największym stopniu w jej własnych zamówieniach publicznych oraz wykorzystując intensywniej zielone zamówienia publiczne w finansowaniu UE.</w:t>
      </w:r>
    </w:p>
    <w:p w14:paraId="6F00A293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69CF40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w swoich pracach dotyczących ekoprojektu w szczególności rozważy wprowadzenie proporcjonalnych wymogów dotyczących dostępności informacji w odniesieniu do napraw i części zamiennych oraz kwestie uwzględniania informacji na temat trwałości produkt</w:t>
      </w:r>
      <w:r>
        <w:rPr>
          <w:rFonts w:ascii="Times New Roman" w:hAnsi="Times New Roman"/>
          <w:i/>
          <w:noProof/>
          <w:sz w:val="24"/>
        </w:rPr>
        <w:t xml:space="preserve">u w przyszłych środkach dotyczących etykietowania energetycznego.  </w:t>
      </w:r>
    </w:p>
    <w:p w14:paraId="244088D1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W zmienionych wnioskach dotyczących odpadów Komisja przedstawia nowe zasady, które mają zachęcać do ponownego użycia.</w:t>
      </w:r>
    </w:p>
    <w:p w14:paraId="5ACD871A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podejmie działania na rzecz lepszego egzekwowania gwarancj</w:t>
      </w:r>
      <w:r>
        <w:rPr>
          <w:rFonts w:ascii="Times New Roman" w:hAnsi="Times New Roman"/>
          <w:i/>
          <w:noProof/>
          <w:sz w:val="24"/>
        </w:rPr>
        <w:t>i dotyczących produktów materialnych i przeanalizuje możliwe sposoby poprawy sytuacji, a także zajmie się problemem fałszywych twierdzeń dotyczących ekologiczności.</w:t>
      </w:r>
    </w:p>
    <w:p w14:paraId="19C4CDBC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przygotuje niezależny program badań w ramach programu „Horyzont 2020” celem pomoc</w:t>
      </w:r>
      <w:r>
        <w:rPr>
          <w:rFonts w:ascii="Times New Roman" w:hAnsi="Times New Roman"/>
          <w:i/>
          <w:noProof/>
          <w:sz w:val="24"/>
        </w:rPr>
        <w:t>y przy określaniu problemów związanych z potencjalnym celowym skracaniem cyklu życia produktów. W prace te zostaną zaangażowane odpowiednie zainteresowane strony.</w:t>
      </w:r>
    </w:p>
    <w:p w14:paraId="2E155E3E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Komisja podejmie działania w zakresie zielonych zamówień publicznych, podkreślając aspekty </w:t>
      </w:r>
      <w:r>
        <w:rPr>
          <w:rFonts w:ascii="Times New Roman" w:hAnsi="Times New Roman"/>
          <w:i/>
          <w:noProof/>
          <w:sz w:val="24"/>
        </w:rPr>
        <w:t>gospodarki o obiegu zamkniętym w nowych lub zmienionych kryteriach, wspierając większy udział zielonych zamówień publicznych i dając dobry przykład swoich zamówień publicznych i finansowania UE.</w:t>
      </w:r>
    </w:p>
    <w:p w14:paraId="04CD4C2A" w14:textId="77777777" w:rsidR="008600A5" w:rsidRDefault="008600A5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EFA05A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Gospodarowanie odpadami</w:t>
      </w:r>
      <w:r>
        <w:rPr>
          <w:rFonts w:ascii="Times New Roman" w:hAnsi="Times New Roman"/>
          <w:noProof/>
          <w:sz w:val="24"/>
        </w:rPr>
        <w:t xml:space="preserve"> </w:t>
      </w:r>
    </w:p>
    <w:p w14:paraId="4DE78645" w14:textId="77777777" w:rsidR="008600A5" w:rsidRDefault="008600A5">
      <w:pPr>
        <w:pStyle w:val="Akapitzlist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616DC48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Gospodarowanie odpadami odgrywa zasadniczą rolę w gospodarce o obiegu zamkniętym: określa ono, w jaki sposób stosuje się w praktyce w UE hierarchię odpadów. Hierarchia </w:t>
      </w:r>
      <w:r>
        <w:rPr>
          <w:rFonts w:ascii="Times New Roman" w:hAnsi="Times New Roman"/>
          <w:noProof/>
          <w:sz w:val="24"/>
        </w:rPr>
        <w:lastRenderedPageBreak/>
        <w:t>odpadów ustanawia kolejność według pierwszeństwa: od zapobiegania powstawaniu, przygotow</w:t>
      </w:r>
      <w:r>
        <w:rPr>
          <w:rFonts w:ascii="Times New Roman" w:hAnsi="Times New Roman"/>
          <w:noProof/>
          <w:sz w:val="24"/>
        </w:rPr>
        <w:t xml:space="preserve">ania do ponownego użycia, recyklingu i odzysku energii aż po unieszkodliwianie, takie jak składowanie odpadów. Zasada ta ma na celu zachęcenie do korzystania z opcji przynoszących najlepszy ogólny skutek środowiskowy. Sposób, w jaki zbieramy odpady i nimi </w:t>
      </w:r>
      <w:r>
        <w:rPr>
          <w:rFonts w:ascii="Times New Roman" w:hAnsi="Times New Roman"/>
          <w:noProof/>
          <w:sz w:val="24"/>
        </w:rPr>
        <w:t xml:space="preserve">gospodarujemy może prowadzić do wysokich wskaźników recyklingu i sprawić, że cenne materiały będą trafiały z powrotem do gospodarki, lub może skutkować niewydajnym systemem, w którym większość nadających się do recyklingu odpadów trafia na składowiska lub </w:t>
      </w:r>
      <w:r>
        <w:rPr>
          <w:rFonts w:ascii="Times New Roman" w:hAnsi="Times New Roman"/>
          <w:noProof/>
          <w:sz w:val="24"/>
        </w:rPr>
        <w:t>do spalarni, co może mieć szkodliwe skutki dla środowiska i powodować znaczne straty gospodarcze. Aby osiągnąć wysoki poziom odzyskiwania materiałów, należy koniecznie przesłać organom publicznym, przedsiębiorstwom i inwestorom długoterminowe sygnały, a ta</w:t>
      </w:r>
      <w:r>
        <w:rPr>
          <w:rFonts w:ascii="Times New Roman" w:hAnsi="Times New Roman"/>
          <w:noProof/>
          <w:sz w:val="24"/>
        </w:rPr>
        <w:t>kże stworzyć sprzyjające warunki na poziomie UE, obejmujące konsekwentne egzekwowanie istniejących zobowiązań. Należy uwzględnić wszystkie odpady: wytwarzane przez gospodarstwa domowe, przedsiębiorstwa, przemysł i górnictwo (zob. sekcja 1.2) oraz sektor bu</w:t>
      </w:r>
      <w:r>
        <w:rPr>
          <w:rFonts w:ascii="Times New Roman" w:hAnsi="Times New Roman"/>
          <w:noProof/>
          <w:sz w:val="24"/>
        </w:rPr>
        <w:t xml:space="preserve">dowlany (zob. sekcja 5.4). </w:t>
      </w:r>
    </w:p>
    <w:p w14:paraId="760DA07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3D25EDC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Obecnie jedynie ok. 40 % odpadów wytwarzanych w unijnych gospodarstwach domowych poddawane jest recyklingowi. Ta średnia kryje znaczne różnice pomiędzy poszczególnymi państwami członkowskimi i regionami, przy czym wskaźnik recy</w:t>
      </w:r>
      <w:r>
        <w:rPr>
          <w:rFonts w:ascii="Times New Roman" w:hAnsi="Times New Roman"/>
          <w:noProof/>
          <w:sz w:val="24"/>
        </w:rPr>
        <w:t>klingu wynosi na niektórych obszarach aż 80 %, na innych zaś poniżej 5 %. Komisja przedstawia nowe wnioski ustawodawcze w sprawie odpadów, które ustanawiają jasną, ambitną, długoterminową strategię postępowania w zakresie zwiększenia recyklingu i ogranicza</w:t>
      </w:r>
      <w:r>
        <w:rPr>
          <w:rFonts w:ascii="Times New Roman" w:hAnsi="Times New Roman"/>
          <w:noProof/>
          <w:sz w:val="24"/>
        </w:rPr>
        <w:t>nia ilości składowanych odpadów komunalnych, z uwzględnieniem różnic między państwami członkowskimi. Te wnioski sprzyjają również szerszemu wykorzystaniu instrumentów ekonomicznych do zapewnienia spójności z unijną hierarchią odpadów.</w:t>
      </w:r>
    </w:p>
    <w:p w14:paraId="388DDF2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B7EFEE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Zmienione wnioski ob</w:t>
      </w:r>
      <w:r>
        <w:rPr>
          <w:rFonts w:ascii="Times New Roman" w:hAnsi="Times New Roman"/>
          <w:noProof/>
          <w:sz w:val="24"/>
        </w:rPr>
        <w:t>ejmują również podwyższone wartości docelowe dla recyklingu odpadów opakowaniowych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7"/>
      </w:r>
      <w:r>
        <w:rPr>
          <w:rFonts w:ascii="Times New Roman" w:hAnsi="Times New Roman"/>
          <w:noProof/>
          <w:sz w:val="24"/>
        </w:rPr>
        <w:t>, które przyczynią się do wzmocnienia celów dotyczących odpadów komunalnych oraz poprawy gospodarowania odpadami opakowaniowymi w sektorach handlu i przemysłu. Od czasu wpr</w:t>
      </w:r>
      <w:r>
        <w:rPr>
          <w:rFonts w:ascii="Times New Roman" w:hAnsi="Times New Roman"/>
          <w:noProof/>
          <w:sz w:val="24"/>
        </w:rPr>
        <w:t>owadzenia ogólnounijnych celów w odniesieniu do papieru, szkła, tworzyw sztucznych, metalu i opakowań drewnianych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8"/>
      </w:r>
      <w:r>
        <w:rPr>
          <w:rFonts w:ascii="Times New Roman" w:hAnsi="Times New Roman"/>
          <w:noProof/>
          <w:sz w:val="24"/>
        </w:rPr>
        <w:t xml:space="preserve"> w UE poddano recyklingowi więcej odpadów opakowaniowych (z gospodarstw domowych i źródeł przemysłowych/handlowych), ponadto istnieją możliwo</w:t>
      </w:r>
      <w:r>
        <w:rPr>
          <w:rFonts w:ascii="Times New Roman" w:hAnsi="Times New Roman"/>
          <w:noProof/>
          <w:sz w:val="24"/>
        </w:rPr>
        <w:t xml:space="preserve">ści zwiększenia recyklingu, co przyniosłoby zarówno korzyści gospodarcze, jak i środowiskowe. </w:t>
      </w:r>
    </w:p>
    <w:p w14:paraId="6C7C5FD7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75A7E6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zwiększyć wysokiej jakości recykling, konieczna jest poprawa w zakresie zbierania i sortowania odpadów. Systemy zbierania i sortowania często są finansowane</w:t>
      </w:r>
      <w:r>
        <w:rPr>
          <w:rFonts w:ascii="Times New Roman" w:hAnsi="Times New Roman"/>
          <w:noProof/>
          <w:sz w:val="24"/>
        </w:rPr>
        <w:t xml:space="preserve"> w części z systemów rozszerzonej odpowiedzialności producenta, w ramach których wytwórcy wnoszą wkład w koszty zbierania i przetwarzania produktów. Aby systemy te stały się bardziej skuteczne, Komisja proponuje wprowadzenie minimalnych wymogów dotyczących</w:t>
      </w:r>
      <w:r>
        <w:rPr>
          <w:rFonts w:ascii="Times New Roman" w:hAnsi="Times New Roman"/>
          <w:noProof/>
          <w:sz w:val="24"/>
        </w:rPr>
        <w:t xml:space="preserve"> przejrzystości i efektywności kosztowej. Państwa członkowskie i regiony mogą również </w:t>
      </w:r>
      <w:r>
        <w:rPr>
          <w:rFonts w:ascii="Times New Roman" w:hAnsi="Times New Roman"/>
          <w:noProof/>
          <w:sz w:val="24"/>
        </w:rPr>
        <w:lastRenderedPageBreak/>
        <w:t>wykorzystywać te programy dla różnych strumieni odpadów, takich jak wyroby włókiennicze lub meble.</w:t>
      </w:r>
    </w:p>
    <w:p w14:paraId="0EB718D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141CF4C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Zmienione wnioski będą również dotyczyć pewnych kwestii w zakresie obl</w:t>
      </w:r>
      <w:r>
        <w:rPr>
          <w:rFonts w:ascii="Times New Roman" w:hAnsi="Times New Roman"/>
          <w:noProof/>
          <w:sz w:val="24"/>
        </w:rPr>
        <w:t>iczania współczynników recyklingu. Ma to zasadnicze znaczenie dla zapewnienia wysokiej jakości porównywalnych danych statystycznych w całej UE, a także uproszczenia obecnego systemu i sprzyja wyższym wskaźnikom skutecznego recyklingu dla odpadów zbieranych</w:t>
      </w:r>
      <w:r>
        <w:rPr>
          <w:rFonts w:ascii="Times New Roman" w:hAnsi="Times New Roman"/>
          <w:noProof/>
          <w:sz w:val="24"/>
        </w:rPr>
        <w:t xml:space="preserve"> selektywnie.</w:t>
      </w:r>
    </w:p>
    <w:p w14:paraId="74BA577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BB888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Ważne jest także, by zająć się przeszkodami występującymi w terenie. Osiągnięcie wyższych współczynników recyklingu utrudniają często ograniczony potencjał administracyjny, brak inwestycji w infrastrukturę selektywnego zbierania i recyklingu</w:t>
      </w:r>
      <w:r>
        <w:rPr>
          <w:rFonts w:ascii="Times New Roman" w:hAnsi="Times New Roman"/>
          <w:noProof/>
          <w:sz w:val="24"/>
        </w:rPr>
        <w:t xml:space="preserve"> odpadów oraz niedostateczne wykorzystanie instrumentów ekonomicznych (np. opłaty za składowanie odpadów lub systemy opłat proporcjonalnych do ilości wyrzucanych odpadów). Fakt, że stworzono nadwyżki zdolności przetwarzania odpadów resztkowych (w tym odpad</w:t>
      </w:r>
      <w:r>
        <w:rPr>
          <w:rFonts w:ascii="Times New Roman" w:hAnsi="Times New Roman"/>
          <w:noProof/>
          <w:sz w:val="24"/>
        </w:rPr>
        <w:t>ów zmieszanych) również stanowi poważne wyzwanie. Nowe wnioski ustawodawcze w sprawie odpadów uwzględniają te przeszkody, łącząc długoterminowe oraz pośrednie cele z możliwością przedłużenia terminów dla państw, które borykają się z największymi wyzwaniami</w:t>
      </w:r>
      <w:r>
        <w:rPr>
          <w:rFonts w:ascii="Times New Roman" w:hAnsi="Times New Roman"/>
          <w:noProof/>
          <w:sz w:val="24"/>
        </w:rPr>
        <w:t xml:space="preserve"> w zakresie intensyfikacji selektywnego zbierania i recyklingu, i jednocześnie nakładając wymóg utworzenia strategii wdrożenia, aby zapewnić osiąganie postępów oraz odpowiednio wczesne eliminowanie luk we wdrażaniu. Komisja zobowiązała się również do zapew</w:t>
      </w:r>
      <w:r>
        <w:rPr>
          <w:rFonts w:ascii="Times New Roman" w:hAnsi="Times New Roman"/>
          <w:noProof/>
          <w:sz w:val="24"/>
        </w:rPr>
        <w:t>nienia pomocy technicznej państwom członkowskim napotykającym trudności we wdrażaniu oraz do ułatwienia wymiany najlepszych praktyk z krajami i regionami, które z powodzeniem prowadzą gospodarkę odpadami. Komisja podjęła już szereg inicjatyw na rzecz propa</w:t>
      </w:r>
      <w:r>
        <w:rPr>
          <w:rFonts w:ascii="Times New Roman" w:hAnsi="Times New Roman"/>
          <w:noProof/>
          <w:sz w:val="24"/>
        </w:rPr>
        <w:t>gowania przestrzegania przepisów w celu zapewnienia lepszego wdrażania prawodawstwa UE w dziedzinie odpadów, w tym odpadów niebezpiecznych i komunalnych oraz selektywnego zbierania odpadów, oraz w celu zwiększenia świadomości na szczeblu krajowym. Ścisła w</w:t>
      </w:r>
      <w:r>
        <w:rPr>
          <w:rFonts w:ascii="Times New Roman" w:hAnsi="Times New Roman"/>
          <w:noProof/>
          <w:sz w:val="24"/>
        </w:rPr>
        <w:t xml:space="preserve">spółpraca z państwami członkowskimi zostanie w przyszłości wzmocniona i zapewni lepsze powiązanie prawodawstwa dotyczącego odpadów z szerszymi działaniami na rzecz wspierania gospodarki o obiegu zamkniętym. </w:t>
      </w:r>
    </w:p>
    <w:p w14:paraId="547100A6" w14:textId="77777777" w:rsidR="008600A5" w:rsidRDefault="00520B94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ab/>
      </w:r>
    </w:p>
    <w:p w14:paraId="0E32D23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Unijna polityka spójności ma do </w:t>
      </w:r>
      <w:r>
        <w:rPr>
          <w:rFonts w:ascii="Times New Roman" w:hAnsi="Times New Roman"/>
          <w:noProof/>
          <w:sz w:val="24"/>
        </w:rPr>
        <w:t>odegrania kluczową rolę w domykaniu luki inwestycyjnej na potrzeby lepszego gospodarowania odpadami i wspierania stosowania hierarchii odpadów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29"/>
      </w:r>
      <w:r>
        <w:rPr>
          <w:rFonts w:ascii="Times New Roman" w:hAnsi="Times New Roman"/>
          <w:noProof/>
          <w:sz w:val="24"/>
        </w:rPr>
        <w:t>. W ciągu ostatnich dwudziestu lat środki te były powszechnie stosowane w całej UE w celu rozwoju infrastruktury</w:t>
      </w:r>
      <w:r>
        <w:rPr>
          <w:rFonts w:ascii="Times New Roman" w:hAnsi="Times New Roman"/>
          <w:noProof/>
          <w:sz w:val="24"/>
        </w:rPr>
        <w:t xml:space="preserve"> gospodarowania odpadami. W ramach obecnego (2014–2020) programu finansowania muszą zostać spełnione warunki </w:t>
      </w:r>
      <w:r>
        <w:rPr>
          <w:rFonts w:ascii="Times New Roman" w:hAnsi="Times New Roman"/>
          <w:i/>
          <w:noProof/>
          <w:sz w:val="24"/>
        </w:rPr>
        <w:t>ex ante</w:t>
      </w:r>
      <w:r>
        <w:rPr>
          <w:rFonts w:ascii="Times New Roman" w:hAnsi="Times New Roman"/>
          <w:noProof/>
          <w:sz w:val="24"/>
        </w:rPr>
        <w:t>, aby zagwarantować, że nowe inwestycje w sektorze gospodarki odpadami są zgodne z planami zarządzania odpadami opracowanymi przez państwa c</w:t>
      </w:r>
      <w:r>
        <w:rPr>
          <w:rFonts w:ascii="Times New Roman" w:hAnsi="Times New Roman"/>
          <w:noProof/>
          <w:sz w:val="24"/>
        </w:rPr>
        <w:t>złonkowskie w celu osiągnięcia ich celów dotyczących recyklingu. Oznacza to, że finansowanie nowych składowisk będzie przyznawane jedynie w wyjątkowych przypadkach (np. głównie dla nieodzyskiwalnych odpadów niebezpiecznych), oraz że finansowanie nowych ins</w:t>
      </w:r>
      <w:r>
        <w:rPr>
          <w:rFonts w:ascii="Times New Roman" w:hAnsi="Times New Roman"/>
          <w:noProof/>
          <w:sz w:val="24"/>
        </w:rPr>
        <w:t xml:space="preserve">talacji do przetwarzania odpadów resztkowych, takich jak spalarnie lub instalacje mechanicznego oczyszczania biologicznego, będzie przyznawane jedynie w ograniczonych i uzasadnionych przypadkach, gdy nie występuje ryzyko stworzenia </w:t>
      </w:r>
      <w:r>
        <w:rPr>
          <w:rFonts w:ascii="Times New Roman" w:hAnsi="Times New Roman"/>
          <w:noProof/>
          <w:sz w:val="24"/>
        </w:rPr>
        <w:lastRenderedPageBreak/>
        <w:t>nadmiernej infrastruktur</w:t>
      </w:r>
      <w:r>
        <w:rPr>
          <w:rFonts w:ascii="Times New Roman" w:hAnsi="Times New Roman"/>
          <w:noProof/>
          <w:sz w:val="24"/>
        </w:rPr>
        <w:t>y, a hierarchia odpadów jest w pełni przestrzegana. W sumie przewiduje się, że w obecnym programie finansowania na gospodarowanie odpadami zostanie przeznaczona kwota 5,5 mld EUR.</w:t>
      </w:r>
    </w:p>
    <w:p w14:paraId="4EB6A59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FBCBD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Kolejną barierą dla wyższych wskaźników recyklingu jest nielegalne przemies</w:t>
      </w:r>
      <w:r>
        <w:rPr>
          <w:rFonts w:ascii="Times New Roman" w:hAnsi="Times New Roman"/>
          <w:noProof/>
          <w:sz w:val="24"/>
        </w:rPr>
        <w:t>zczanie odpadów, zarówno na terenie UE, jak i do państw spoza UE, co często prowadzi do niezadowalającego pod względem ekonomicznym i nieekologicznego przetwarzania. W 2014 r. zostało przyjęte zmienione rozporządzenie w sprawie przemieszczania odpadów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0"/>
      </w:r>
      <w:r>
        <w:rPr>
          <w:rFonts w:ascii="Times New Roman" w:hAnsi="Times New Roman"/>
          <w:noProof/>
          <w:sz w:val="24"/>
        </w:rPr>
        <w:t>, k</w:t>
      </w:r>
      <w:r>
        <w:rPr>
          <w:rFonts w:ascii="Times New Roman" w:hAnsi="Times New Roman"/>
          <w:noProof/>
          <w:sz w:val="24"/>
        </w:rPr>
        <w:t>tóre ułatwi wykrywanie takiego nielegalnego przemieszczania; Komisja podejmie dalsze działania, dzięki którym dopilnuje, aby było ono właściwie realizowane. Strumienie odpadów o wysokiej wartości, takie jak pojazdy wycofane z eksploatacji, zostaną szczegól</w:t>
      </w:r>
      <w:r>
        <w:rPr>
          <w:rFonts w:ascii="Times New Roman" w:hAnsi="Times New Roman"/>
          <w:noProof/>
          <w:sz w:val="24"/>
        </w:rPr>
        <w:t>nie uwzględnione, aby zapobiec wyciekowi surowców.</w:t>
      </w:r>
    </w:p>
    <w:p w14:paraId="09C7576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71375A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Ponadto w celu propagowania wysokiej jakości recyklingu w UE i poza jej granicami Komisja będzie wspierać dobrowolną certyfikację urządzeń do przetwarzania niektórych kluczowych rodzajów odpadów (np. zuży</w:t>
      </w:r>
      <w:r>
        <w:rPr>
          <w:rFonts w:ascii="Times New Roman" w:hAnsi="Times New Roman"/>
          <w:noProof/>
          <w:sz w:val="24"/>
        </w:rPr>
        <w:t>tego sprzętu elektronicznego czy odpadów z tworzyw sztucznych).</w:t>
      </w:r>
    </w:p>
    <w:p w14:paraId="75655A3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C433770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Jeśli nie można zapobiec powstaniu odpadów ani poddać ich recyklingowi, odzysk zawartej w nich energii jest w większości przypadków korzystniejszy od składowania, zarówno pod względem ekologi</w:t>
      </w:r>
      <w:r>
        <w:rPr>
          <w:rFonts w:ascii="Times New Roman" w:hAnsi="Times New Roman"/>
          <w:noProof/>
          <w:sz w:val="24"/>
        </w:rPr>
        <w:t>cznym, jak i ekonomicznym. „Energia z odpadów” może więc odgrywać ważną rolę i tworzyć synergie z unijną polityką klimatyczno-energetyczną, pod warunkiem że wykorzystuje się ją zgodnie z zasadami unijnej hierarchii postępowania z odpadami. Komisja zbada, w</w:t>
      </w:r>
      <w:r>
        <w:rPr>
          <w:rFonts w:ascii="Times New Roman" w:hAnsi="Times New Roman"/>
          <w:noProof/>
          <w:sz w:val="24"/>
        </w:rPr>
        <w:t xml:space="preserve"> jaki sposób rola ta może zostać zoptymalizowana bez narażania na szwank osiągnięcia wyższych wskaźników recyklingu i ponownego użycia, oraz w jaki sposób najlepiej wykorzystać odnośny potencjał energetyczny. W tym celu, w ramach unii energetycznej, Komisj</w:t>
      </w:r>
      <w:r>
        <w:rPr>
          <w:rFonts w:ascii="Times New Roman" w:hAnsi="Times New Roman"/>
          <w:noProof/>
          <w:sz w:val="24"/>
        </w:rPr>
        <w:t>a przyjmie inicjatywę „energia z odpadów".</w:t>
      </w:r>
    </w:p>
    <w:p w14:paraId="49B2B1E8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5FF289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 Wraz z niniejszym planem działania Komisja przyjmuje zmienione wnioski ustawodawcze dotyczące odpadów, obejmujące w szczególności:</w:t>
      </w:r>
    </w:p>
    <w:p w14:paraId="66E86921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długoterminowe cele w zakresie recyklingu odpadów komunalnych i opakowaniowych</w:t>
      </w:r>
      <w:r>
        <w:rPr>
          <w:rFonts w:ascii="Times New Roman" w:hAnsi="Times New Roman"/>
          <w:i/>
          <w:noProof/>
          <w:sz w:val="24"/>
        </w:rPr>
        <w:t xml:space="preserve"> oraz ograniczenie składowania odpadów,</w:t>
      </w:r>
    </w:p>
    <w:p w14:paraId="7D15FE63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przepisy w celu propagowania szerszego wykorzystania instrumentów ekonomicznych,</w:t>
      </w:r>
    </w:p>
    <w:p w14:paraId="4FCD0F47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ogólne wymagania dotyczące rozszerzonej odpowiedzialności producenta,</w:t>
      </w:r>
    </w:p>
    <w:p w14:paraId="08D0059E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firstLine="72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uproszczenie i ujednolicenie definicji i metod obliczania </w:t>
      </w:r>
    </w:p>
    <w:p w14:paraId="2F742450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oraz zintensyfikuje współpracę z państwami członkowskimi w celu poprawy gospodarowania odpadami w terenie, m.in. w celu uniknięcia nadwyżki zdolności przetwarzania odpadów resztkowych.</w:t>
      </w:r>
    </w:p>
    <w:p w14:paraId="15A1E775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i/>
          <w:iCs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Komisja będzie wspierać państwa członkowskie i regiony, by </w:t>
      </w:r>
      <w:r>
        <w:rPr>
          <w:rFonts w:ascii="Times New Roman" w:hAnsi="Times New Roman"/>
          <w:i/>
          <w:noProof/>
          <w:sz w:val="24"/>
        </w:rPr>
        <w:t>inwestycje w ramach polityki spójności w sektorze odpadów przyczyniały się do wspierania celów UE dotyczących odpadów i opierały się na unijnej hierarchii postępowania z odpadami.</w:t>
      </w:r>
    </w:p>
    <w:p w14:paraId="7F393789" w14:textId="77777777" w:rsidR="008600A5" w:rsidRDefault="008600A5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1148046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Od odpadów do zasobów: stymulowanie rynku surowców wtórnych i </w:t>
      </w:r>
      <w:r>
        <w:rPr>
          <w:rFonts w:ascii="Times New Roman" w:hAnsi="Times New Roman"/>
          <w:b/>
          <w:noProof/>
          <w:sz w:val="24"/>
        </w:rPr>
        <w:t>ponownego wykorzystywania wody</w:t>
      </w:r>
    </w:p>
    <w:p w14:paraId="1A89E0DD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84332F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gospodarce o obiegu zamkniętym materiały, które mogą zostać poddane recyklingowi, są z powrotem wprowadzane do gospodarki jako nowy surowiec, co pozwala zwiększyć bezpieczeństwo dostaw. Te „surowce wtórne” mogą być sprzeda</w:t>
      </w:r>
      <w:r>
        <w:rPr>
          <w:rFonts w:ascii="Times New Roman" w:hAnsi="Times New Roman"/>
          <w:noProof/>
          <w:sz w:val="24"/>
        </w:rPr>
        <w:t xml:space="preserve">wane lub przesyłane, podobnie jak surowce pierwotne z tradycyjnych zasobów złóż naturalnych. </w:t>
      </w:r>
    </w:p>
    <w:p w14:paraId="08AC750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B1371E7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Obecnie surowce wtórne nadal stanowią jedynie niewielką część materiałów produkcyjnych wykorzystywanych w UE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1"/>
      </w:r>
      <w:r>
        <w:rPr>
          <w:rFonts w:ascii="Times New Roman" w:hAnsi="Times New Roman"/>
          <w:noProof/>
          <w:sz w:val="24"/>
        </w:rPr>
        <w:t xml:space="preserve">. Praktyki w zakresie gospodarowania odpadami mają </w:t>
      </w:r>
      <w:r>
        <w:rPr>
          <w:rFonts w:ascii="Times New Roman" w:hAnsi="Times New Roman"/>
          <w:noProof/>
          <w:sz w:val="24"/>
        </w:rPr>
        <w:t>bezpośredni wpływ na ilość i jakość tych materiałów i w związku z tym działania służące ulepszeniu tych praktyk mają podstawowe znaczenie (zob. sekcja 3.). Jednak rozwój tego ważnego rynku oraz płynny obrót tymi materiałami są utrudnione przez inne bariery</w:t>
      </w:r>
      <w:r>
        <w:rPr>
          <w:rFonts w:ascii="Times New Roman" w:hAnsi="Times New Roman"/>
          <w:noProof/>
          <w:sz w:val="24"/>
        </w:rPr>
        <w:t xml:space="preserve"> i Komisja przygotowuje dalsze analizy dotyczące głównych przeszkód w tym kontekście. Działania UE w tej dziedzinie są szczególnie istotne ze względu na wpływ na rynek jednolity i powiązania z istniejącym prawodawstwem UE. </w:t>
      </w:r>
    </w:p>
    <w:p w14:paraId="14058044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165FE9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Jedną z przeszkód napotykanych </w:t>
      </w:r>
      <w:r>
        <w:rPr>
          <w:rFonts w:ascii="Times New Roman" w:hAnsi="Times New Roman"/>
          <w:noProof/>
          <w:sz w:val="24"/>
        </w:rPr>
        <w:t>przez podmioty gospodarcze, które chcą wykorzystywać surowce wtórne, jest niepewność co do ich jakości. Z powodu braku norm unijnych trudno jest ustalić poziomy zanieczyszczeń lub przydatności do recyklingu wysokiej jakości (np. w przypadku tworzyw sztuczn</w:t>
      </w:r>
      <w:r>
        <w:rPr>
          <w:rFonts w:ascii="Times New Roman" w:hAnsi="Times New Roman"/>
          <w:noProof/>
          <w:sz w:val="24"/>
        </w:rPr>
        <w:t>ych). Opracowanie takich norm powinno zwiększyć zaufanie do surowców wtórnych i materiałów pochodzących z recyklingu oraz wesprzeć ten rynek. Dlatego Komisja rozpocznie prace nad ogólnounijnymi normami jakości dla odpowiednich surowców wtórnych, w konsulta</w:t>
      </w:r>
      <w:r>
        <w:rPr>
          <w:rFonts w:ascii="Times New Roman" w:hAnsi="Times New Roman"/>
          <w:noProof/>
          <w:sz w:val="24"/>
        </w:rPr>
        <w:t>cji z zainteresowanymi sektorami przemysłu.  Dzięki doprecyzowaniu obowiązujących przepisów w sprawie zniesienia statusu odpadu zmienione wnioski ustawodawcze w sprawie odpadów ustanawiają zharmonizowane zasady ustalania, kiedy surowiec wtórny nie powinien</w:t>
      </w:r>
      <w:r>
        <w:rPr>
          <w:rFonts w:ascii="Times New Roman" w:hAnsi="Times New Roman"/>
          <w:noProof/>
          <w:sz w:val="24"/>
        </w:rPr>
        <w:t xml:space="preserve"> być dłużej uznawany za „odpad”.. Zapewni to podmiotom gospodarczym większą pewność i równe szanse. </w:t>
      </w:r>
    </w:p>
    <w:p w14:paraId="1F6A31C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8039739" w14:textId="77777777" w:rsidR="008600A5" w:rsidRDefault="00520B9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Poddane recyklingowi składniki pokarmowe stanowią osobną i ważną kategorię surowców wtórnych, dla której konieczne jest opracowanie norm. Znajdują się one</w:t>
      </w:r>
      <w:r>
        <w:rPr>
          <w:rFonts w:ascii="Times New Roman" w:hAnsi="Times New Roman"/>
          <w:noProof/>
          <w:sz w:val="24"/>
        </w:rPr>
        <w:t xml:space="preserve"> na przykład w odpadach organicznych i mogą być zwracane glebie w postaci nawozu. Ich zrównoważone wykorzystanie w rolnictwie ogranicza konieczność stosowania nawozów mineralnych, których produkcja ma negatywne skutki dla środowiska i jest uzależniona od p</w:t>
      </w:r>
      <w:r>
        <w:rPr>
          <w:rFonts w:ascii="Times New Roman" w:hAnsi="Times New Roman"/>
          <w:noProof/>
          <w:sz w:val="24"/>
        </w:rPr>
        <w:t>rzywozu fosforytów, które są ograniczonym zasobem. Niemniej jednak obieg nawozów w oparciu o recykling składników pokarmowych jest obecnie utrudniony ze względu na fakt, że przepisy oraz normy jakościowe i środowiskowe różnią się w poszczególnych państwach</w:t>
      </w:r>
      <w:r>
        <w:rPr>
          <w:rFonts w:ascii="Times New Roman" w:hAnsi="Times New Roman"/>
          <w:noProof/>
          <w:sz w:val="24"/>
        </w:rPr>
        <w:t xml:space="preserve"> członkowskich. Aby zaradzić tej sytuacji, Komisja przedstawi wniosek dotyczący zmiany rozporządzenia UE w sprawie nawozów. Będzie to wymagało nowych środków ułatwiających uznawanie w całej UE nawozów organicznych i nawozów na bazie odpadów, które to środk</w:t>
      </w:r>
      <w:r>
        <w:rPr>
          <w:rFonts w:ascii="Times New Roman" w:hAnsi="Times New Roman"/>
          <w:noProof/>
          <w:sz w:val="24"/>
        </w:rPr>
        <w:t>i umożliwią zrównoważony rozwój ogólnounijnego rynku.</w:t>
      </w:r>
    </w:p>
    <w:p w14:paraId="4CCD44F1" w14:textId="77777777" w:rsidR="008600A5" w:rsidRDefault="00520B94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W niektórych częściach UE poważnym problemem w ostatnich dziesięcioleciach stał się niedobór wody stał się  wywierający destrukcyjny wpływ na środowisko i gospodarkę. Oprócz środków w zakresie efektywne</w:t>
      </w:r>
      <w:r>
        <w:rPr>
          <w:rFonts w:ascii="Times New Roman" w:hAnsi="Times New Roman"/>
          <w:noProof/>
          <w:sz w:val="24"/>
        </w:rPr>
        <w:t>go wykorzystania wody, powtórne wykorzystanie oczyszczonych ścieków w bezpiecznych i opłacalnych warunkach jest cennym, lecz mało wykorzystywanym sposobem zwiększenia zasobów wody i odciążenia nadmiernie eksploatowanych zasobów wodnych w UE. Ponowne wykorz</w:t>
      </w:r>
      <w:r>
        <w:rPr>
          <w:rFonts w:ascii="Times New Roman" w:hAnsi="Times New Roman"/>
          <w:noProof/>
          <w:sz w:val="24"/>
        </w:rPr>
        <w:t>ystanie wody w rolnictwie przyczynia się również do recyklingu składników pokarmowych, które zastępują nawozy stałe. Komisja podejmie szereg działań, aby zachęcać do ponownego wykorzystywania oczyszczonych ścieków, m.in. opracowując przepisy dotyczące mini</w:t>
      </w:r>
      <w:r>
        <w:rPr>
          <w:rFonts w:ascii="Times New Roman" w:hAnsi="Times New Roman"/>
          <w:noProof/>
          <w:sz w:val="24"/>
        </w:rPr>
        <w:t xml:space="preserve">malnych wymagań w zakresie ponownego wykorzystania wody. </w:t>
      </w:r>
    </w:p>
    <w:p w14:paraId="79DAA637" w14:textId="77777777" w:rsidR="008600A5" w:rsidRDefault="00520B94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Inną kwestią, bardzo ważną dla rozwoju rynków surowców wtórnych, są powiązania z przepisami dotyczącymi chemikaliów. Coraz więcej substancji chemicznych uznaje się za substancje stanowiące zagrożeni</w:t>
      </w:r>
      <w:r>
        <w:rPr>
          <w:rFonts w:ascii="Times New Roman" w:hAnsi="Times New Roman"/>
          <w:noProof/>
          <w:sz w:val="24"/>
        </w:rPr>
        <w:t>e dla zdrowia lub środowiska i obejmuje się je ograniczeniami lub zakazami. Jednak substancje te mogą być obecne w produktach sprzedanych przed wprowadzeniem ograniczeń. Niektóre z tych produktów mają długi okres użytkowania, a zatem potencjalnie niebezpie</w:t>
      </w:r>
      <w:r>
        <w:rPr>
          <w:rFonts w:ascii="Times New Roman" w:hAnsi="Times New Roman"/>
          <w:noProof/>
          <w:sz w:val="24"/>
        </w:rPr>
        <w:t>czne chemikalia można czasem znaleźć w strumieniach odpadów poddawanych recyklingowi. Wykrywanie i usuwanie takich substancji może być bardzo kosztowne, co stanowi utrudnienie szczególnie dla małych podmiotów zajmujących się recyklingiem.</w:t>
      </w:r>
    </w:p>
    <w:p w14:paraId="542795EC" w14:textId="77777777" w:rsidR="008600A5" w:rsidRDefault="008600A5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DAF680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Propagowanie nie</w:t>
      </w:r>
      <w:r>
        <w:rPr>
          <w:rFonts w:ascii="Times New Roman" w:hAnsi="Times New Roman"/>
          <w:noProof/>
          <w:sz w:val="24"/>
        </w:rPr>
        <w:t>toksycznych cyklów materiałowych i lepsza identyfikowalność potencjalnie niebezpiecznych chemikaliów w produktach ułatwią recykling i zwiększą wykorzystanie surowców wtórnych. Wzajemne oddziaływanie prawodawstwa dotyczącego odpadów, produktów i chemikaliów</w:t>
      </w:r>
      <w:r>
        <w:rPr>
          <w:rFonts w:ascii="Times New Roman" w:hAnsi="Times New Roman"/>
          <w:noProof/>
          <w:sz w:val="24"/>
        </w:rPr>
        <w:t xml:space="preserve"> musi być ocenione w kontekście gospodarki o obiegu zamkniętym w celu dokonania wyboru najlepszego kierunku działań na poziomie UE w odniesieniu do obecności substancji potencjalnie niebezpiecznych, ograniczenia zbędnych obciążeń dla podmiotów zajmujących </w:t>
      </w:r>
      <w:r>
        <w:rPr>
          <w:rFonts w:ascii="Times New Roman" w:hAnsi="Times New Roman"/>
          <w:noProof/>
          <w:sz w:val="24"/>
        </w:rPr>
        <w:t>się recyklingiem oraz ułatwienia identyfikowalności chemikaliów i zarządzania ryzykiem z nimi związanym w procesie recyklingu. W związku z tym Komisja opracuje analizę i zaproponuje szereg wariantów działań pozwalających na usunięcie przeszkód przy jednocz</w:t>
      </w:r>
      <w:r>
        <w:rPr>
          <w:rFonts w:ascii="Times New Roman" w:hAnsi="Times New Roman"/>
          <w:noProof/>
          <w:sz w:val="24"/>
        </w:rPr>
        <w:t>esnym zachowaniu wysokiego poziomu ochrony zdrowia ludzkiego i środowiska naturalnego. Prace te zostaną uwzględnione w ramach przyszłej unijnej strategii dla środowiska wolnego od toksyn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2"/>
      </w:r>
      <w:r>
        <w:rPr>
          <w:noProof/>
        </w:rPr>
        <w:t>.</w:t>
      </w:r>
    </w:p>
    <w:p w14:paraId="1D35F66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A3BD4C5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Istotne jest także ułatwienie transgranicznego obiegu surowców wt</w:t>
      </w:r>
      <w:r>
        <w:rPr>
          <w:rFonts w:ascii="Times New Roman" w:hAnsi="Times New Roman"/>
          <w:noProof/>
          <w:sz w:val="24"/>
        </w:rPr>
        <w:t>órnych, aby mogły one być sprzedawane bez przeszkód na terenie całej UE. Działania w tym obszarze będą obejmowały uproszczenie transgranicznych formalności dzięki wykorzystaniu elektronicznej wymiany danych. Komisja analizuje inne bariery utrudniające spra</w:t>
      </w:r>
      <w:r>
        <w:rPr>
          <w:rFonts w:ascii="Times New Roman" w:hAnsi="Times New Roman"/>
          <w:noProof/>
          <w:sz w:val="24"/>
        </w:rPr>
        <w:t>wny przepływ odpadów w UE. W celu poprawy dostępności danych dotyczących surowców wtórnych Komisja będzie nadal rozwijać niedawno utworzony system informacji dotyczący surowców i wspierać ogólnounijne badania nad przepływem surowców. Komisja będzie również</w:t>
      </w:r>
      <w:r>
        <w:rPr>
          <w:rFonts w:ascii="Times New Roman" w:hAnsi="Times New Roman"/>
          <w:noProof/>
          <w:sz w:val="24"/>
        </w:rPr>
        <w:t xml:space="preserve"> wspierać poprawę sprawozdawczości w zakresie danych dotyczących przemieszczania odpadów, m. in. wykorzystując dostępne dane w kontekście transgranicznej elektronicznej wymiany danych.</w:t>
      </w:r>
    </w:p>
    <w:p w14:paraId="245E583E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6C11B9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Kluczowym czynnikiem w tworzeniu dynamicznego rynku surowców wtórnych </w:t>
      </w:r>
      <w:r>
        <w:rPr>
          <w:rFonts w:ascii="Times New Roman" w:hAnsi="Times New Roman"/>
          <w:noProof/>
          <w:sz w:val="24"/>
        </w:rPr>
        <w:t>jest wystarczająco duży popyt, pobudzany przez wykorzystywanie surowców wtórnych w produktach i infrastrukturze. W przypadku niektórych surowców (np. papieru lub metalu) popyt jest już wysoki. W przypadku innych dopiero się rozwija. Rola sektora prywatnego</w:t>
      </w:r>
      <w:r>
        <w:rPr>
          <w:rFonts w:ascii="Times New Roman" w:hAnsi="Times New Roman"/>
          <w:noProof/>
          <w:sz w:val="24"/>
        </w:rPr>
        <w:t xml:space="preserve"> w tworzeniu popytu i kształtowaniu łańcuchów dostaw będzie mieć zasadnicze znaczenie; szereg podmiotów przemysłowych i gospodarczych zobowiązał się już publicznie do zapewnienia pewnego poziomu zawartości materiału pochodzącego z recyklingu w produktach w</w:t>
      </w:r>
      <w:r>
        <w:rPr>
          <w:rFonts w:ascii="Times New Roman" w:hAnsi="Times New Roman"/>
          <w:noProof/>
          <w:sz w:val="24"/>
        </w:rPr>
        <w:t>prowadzanych do obrotu zarówno z uwagi na zrównoważoność, jak i ze względów ekonomicznych. Należy zachęcać do takich działań, zważywszy, że inicjatywy rynkowe mogą okazać się szybkim sposobem osiągnięcia wymiernych wyników. Organy publiczne mogą również pr</w:t>
      </w:r>
      <w:r>
        <w:rPr>
          <w:rFonts w:ascii="Times New Roman" w:hAnsi="Times New Roman"/>
          <w:noProof/>
          <w:sz w:val="24"/>
        </w:rPr>
        <w:t xml:space="preserve">zyczyniać się do popytu na materiały pochodzące z recyklingu dzięki swojej polityce zamówień publicznych. </w:t>
      </w:r>
    </w:p>
    <w:p w14:paraId="16F0BFD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 </w:t>
      </w:r>
    </w:p>
    <w:p w14:paraId="2CFBBE6C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Komisja rozpocznie prace nad opracowaniem norm jakości dla surowców wtórnych tam, gdzie są potrzebne (zwłaszcza dla tworzyw </w:t>
      </w:r>
      <w:r>
        <w:rPr>
          <w:rFonts w:ascii="Times New Roman" w:hAnsi="Times New Roman"/>
          <w:i/>
          <w:noProof/>
          <w:sz w:val="24"/>
        </w:rPr>
        <w:t>sztucznych), i przedstawi zmiany przepisów dotyczących zniesienia statusu odpadu.</w:t>
      </w:r>
    </w:p>
    <w:p w14:paraId="50C4F49F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przedstawi zmienione unijne rozporządzenie w sprawie nawozów, aby ułatwić uznawanie nawozów organicznych i nawozów na bazie odpadów na jednolitym rynku i w ten spos</w:t>
      </w:r>
      <w:r>
        <w:rPr>
          <w:rFonts w:ascii="Times New Roman" w:hAnsi="Times New Roman"/>
          <w:i/>
          <w:noProof/>
          <w:sz w:val="24"/>
        </w:rPr>
        <w:t>ób wesprzeć rolę biologicznych składników pokarmowych w gospodarce o obiegu zamkniętym.</w:t>
      </w:r>
    </w:p>
    <w:p w14:paraId="2EE96B3A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podejmie także szereg działań w celu ułatwienia ponownego wykorzystywania wody – obejmie to również wniosek ustawodawczy w sprawie minimalnych wymogów dotyczą</w:t>
      </w:r>
      <w:r>
        <w:rPr>
          <w:rFonts w:ascii="Times New Roman" w:hAnsi="Times New Roman"/>
          <w:i/>
          <w:noProof/>
          <w:sz w:val="24"/>
        </w:rPr>
        <w:t>cych odzyskiwanej wody, np. do irygacji i zasilania wód podziemnych.</w:t>
      </w:r>
    </w:p>
    <w:p w14:paraId="4BC36663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opracuje analizy i zaproponuje rozwiązania na styku prawodawstwa dotyczącego chemikaliów, produktów i odpadów, w tym sposoby poprawy monitorowania potencjalnie niebezpiecznych c</w:t>
      </w:r>
      <w:r>
        <w:rPr>
          <w:rFonts w:ascii="Times New Roman" w:hAnsi="Times New Roman"/>
          <w:i/>
          <w:noProof/>
          <w:sz w:val="24"/>
        </w:rPr>
        <w:t xml:space="preserve">hemikaliów znajdujących się w produktach. </w:t>
      </w:r>
    </w:p>
    <w:p w14:paraId="223BC766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będzie nadal rozwijać niedawno utworzony system informacji dotyczący surowców i wspierać ogólnounijne badania nad przepływem surowców.</w:t>
      </w:r>
    </w:p>
    <w:p w14:paraId="6A5D48F4" w14:textId="77777777" w:rsidR="008600A5" w:rsidRDefault="008600A5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7C49BA0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Obszary priorytetowe</w:t>
      </w:r>
    </w:p>
    <w:p w14:paraId="6C92FA93" w14:textId="77777777" w:rsidR="008600A5" w:rsidRDefault="008600A5">
      <w:pPr>
        <w:pStyle w:val="Akapitzlist"/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A3D51C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Niektóre sektory borykają się ze szczególnymi</w:t>
      </w:r>
      <w:r>
        <w:rPr>
          <w:rFonts w:ascii="Times New Roman" w:hAnsi="Times New Roman"/>
          <w:noProof/>
          <w:sz w:val="24"/>
        </w:rPr>
        <w:t xml:space="preserve"> wyzwaniami w kontekście gospodarki o obiegu zamkniętym, ze względu na charakterystykę ich produktów lub łańcuchów wartości, ich ślad środowiskowy lub zależność od materiałów spoza Europy. Tymi sektorami należy zająć się w sposób ukierunkowany, aby interak</w:t>
      </w:r>
      <w:r>
        <w:rPr>
          <w:rFonts w:ascii="Times New Roman" w:hAnsi="Times New Roman"/>
          <w:noProof/>
          <w:sz w:val="24"/>
        </w:rPr>
        <w:t xml:space="preserve">cje między różnymi etapami były w pełni uwzględniane w ramach całego łańcucha wartości. </w:t>
      </w:r>
    </w:p>
    <w:p w14:paraId="713368D0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48E501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Tworzywa sztuczne</w:t>
      </w:r>
    </w:p>
    <w:p w14:paraId="73863180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E25E90B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Zwiększenie recyklingu tworzyw sztucznych jest konieczne do przejścia na gospodarkę o obiegu zamkniętym. Wykorzystanie tworzyw sztucznych w UE stal</w:t>
      </w:r>
      <w:r>
        <w:rPr>
          <w:rFonts w:ascii="Times New Roman" w:hAnsi="Times New Roman"/>
          <w:noProof/>
          <w:sz w:val="24"/>
        </w:rPr>
        <w:t xml:space="preserve">e rośnie, ale mniej niż 25 % zbieranych odpadów z tworzyw sztucznych jest poddawane recyklingowi, a około 50 % trafia na składowiska. Duże ilości tworzyw sztucznych trafiają do oceanów, a wśród celów </w:t>
      </w:r>
      <w:r>
        <w:rPr>
          <w:rFonts w:ascii="Times New Roman" w:hAnsi="Times New Roman"/>
          <w:noProof/>
          <w:sz w:val="24"/>
        </w:rPr>
        <w:lastRenderedPageBreak/>
        <w:t xml:space="preserve">zrównoważonego rozwoju na 2030 r. jest też cel, zgodnie </w:t>
      </w:r>
      <w:r>
        <w:rPr>
          <w:rFonts w:ascii="Times New Roman" w:hAnsi="Times New Roman"/>
          <w:noProof/>
          <w:sz w:val="24"/>
        </w:rPr>
        <w:t>z którym należy dążyć do zapobiegania zanieczyszczeniu mórz i znacznego zmniejszenia wszelkiego rodzaju zanieczyszczeń, w tym odpadów morskich. Inteligentniejsze selektywne zbieranie odpadów i systemy certyfikacji dla podmiotów zajmujących się zbieraniem i</w:t>
      </w:r>
      <w:r>
        <w:rPr>
          <w:rFonts w:ascii="Times New Roman" w:hAnsi="Times New Roman"/>
          <w:noProof/>
          <w:sz w:val="24"/>
        </w:rPr>
        <w:t> sortowaniem odpadów są niezbędne, jeśli nadające się do recyklingu tworzywa sztuczne mają trafiać do recyklingu zamiast na składowiska i do spalarni. Obecność w tworzywach sztucznych niebezpiecznych dodatków chemicznych może stwarzać trudności techniczne,</w:t>
      </w:r>
      <w:r>
        <w:rPr>
          <w:rFonts w:ascii="Times New Roman" w:hAnsi="Times New Roman"/>
          <w:noProof/>
          <w:sz w:val="24"/>
        </w:rPr>
        <w:t xml:space="preserve"> a tworzenie innowacyjnych rodzajów tworzyw sztucznych przynosi nowe problemy, np. jeśli chodzi o ich biodegradowalność. Jednak innowacje w tym sektorze mogą przyczynić się do rozwoju gospodarki o obiegu zamkniętym dzięki udoskonalaniu konserwowania żywnoś</w:t>
      </w:r>
      <w:r>
        <w:rPr>
          <w:rFonts w:ascii="Times New Roman" w:hAnsi="Times New Roman"/>
          <w:noProof/>
          <w:sz w:val="24"/>
        </w:rPr>
        <w:t xml:space="preserve">ci, zwiększaniu podatności recyklingowej tworzyw sztucznych lub redukcji masy materiałów używanych w pojazdach. </w:t>
      </w:r>
    </w:p>
    <w:p w14:paraId="0F6A3A6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4FD23D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rozwiązać te skomplikowane i ważne kwestie, Komisja przygotuje strategię dotyczącą wyzwań związanych z tworzywami sztucznymi w całym łańcu</w:t>
      </w:r>
      <w:r>
        <w:rPr>
          <w:rFonts w:ascii="Times New Roman" w:hAnsi="Times New Roman"/>
          <w:noProof/>
          <w:sz w:val="24"/>
        </w:rPr>
        <w:t>chu wartości i uwzględniającą ich cały cykl życia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3"/>
      </w:r>
      <w:r>
        <w:rPr>
          <w:rFonts w:ascii="Times New Roman" w:hAnsi="Times New Roman"/>
          <w:noProof/>
          <w:sz w:val="24"/>
        </w:rPr>
        <w:t>. Komisja podejmie również działania, aby zrealizować cel, jakim jest znaczne ograniczenie odpadów morskich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4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W kontekście przewidzianego w 2016 r. przeglądu dyrektywy w sprawie portowych urządzeń do odbioru odpadów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5"/>
      </w:r>
      <w:r>
        <w:rPr>
          <w:rFonts w:ascii="Times New Roman" w:hAnsi="Times New Roman"/>
          <w:noProof/>
          <w:sz w:val="24"/>
        </w:rPr>
        <w:t xml:space="preserve"> Komisja zajmie się również kwestią odpadów morskich wytwarzanych przez statki oraz zbada możliwości dostarczania większej ich ilości do portowych u</w:t>
      </w:r>
      <w:r>
        <w:rPr>
          <w:rFonts w:ascii="Times New Roman" w:hAnsi="Times New Roman"/>
          <w:noProof/>
          <w:sz w:val="24"/>
        </w:rPr>
        <w:t>rządzeń odbiorczych i odpowiedniego ich przetwarzania. Wiele innych elementów niniejszego planu działania będzie również przyczyniać się do zwiększenia recyklingu tworzyw sztucznych, w tym ekoprojekt (zob. sekcja 1.1), ogólnounijny cel w zakresie recykling</w:t>
      </w:r>
      <w:r>
        <w:rPr>
          <w:rFonts w:ascii="Times New Roman" w:hAnsi="Times New Roman"/>
          <w:noProof/>
          <w:sz w:val="24"/>
        </w:rPr>
        <w:t>u opakowań z tworzyw sztucznych (zob. sekcja 3), normy jakości oraz działania na rzecz ułatwienia transgranicznego handlu tworzywami sztucznymi nadającymi się do recyklingu (zob. sekcja 4).</w:t>
      </w:r>
    </w:p>
    <w:p w14:paraId="06417748" w14:textId="77777777" w:rsidR="008600A5" w:rsidRDefault="008600A5">
      <w:p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89C838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Komisja opracuje strategię dotyczącą tworzyw </w:t>
      </w:r>
      <w:r>
        <w:rPr>
          <w:rFonts w:ascii="Times New Roman" w:hAnsi="Times New Roman"/>
          <w:i/>
          <w:noProof/>
          <w:sz w:val="24"/>
        </w:rPr>
        <w:t>sztucznych w gospodarce o obiegu zamkniętym, odnoszącą się do takich kwestii, jak podatność recyklingowa, biodegradowalność, obecność substancji niebezpiecznych w niektórych tworzywach sztucznych i odpady morskie.</w:t>
      </w:r>
    </w:p>
    <w:p w14:paraId="78D2D59F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W zmienionych wnioskach ustawodawczych d</w:t>
      </w:r>
      <w:r>
        <w:rPr>
          <w:rFonts w:ascii="Times New Roman" w:hAnsi="Times New Roman"/>
          <w:i/>
          <w:noProof/>
          <w:sz w:val="24"/>
        </w:rPr>
        <w:t>otyczących odpadów Komisja proponuje bardziej ambitny cel w zakresie recyklingu opakowań z tworzyw sztucznych.</w:t>
      </w:r>
    </w:p>
    <w:p w14:paraId="4B5A2754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A39103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Odpady spożywcze</w:t>
      </w:r>
    </w:p>
    <w:p w14:paraId="09FF1595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9EBA16A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 xml:space="preserve">Marnowanie żywności staje się coraz poważniejszym problemem w Europie. Produkcja, dystrybucja i przechowywanie żywności wiążą </w:t>
      </w:r>
      <w:r>
        <w:rPr>
          <w:rFonts w:ascii="Times New Roman" w:hAnsi="Times New Roman"/>
          <w:noProof/>
          <w:sz w:val="24"/>
        </w:rPr>
        <w:t>się z wykorzystywaniem zasobów naturalnych oraz oddziaływaniem na środowisko. Wyrzucanie nadającej się do spożycia żywności powiększa to oddziaływanie i powoduje straty finansowe u konsumentów i w gospodarce. Marnowanie żywności ma również istotny aspekt s</w:t>
      </w:r>
      <w:r>
        <w:rPr>
          <w:rFonts w:ascii="Times New Roman" w:hAnsi="Times New Roman"/>
          <w:noProof/>
          <w:sz w:val="24"/>
        </w:rPr>
        <w:t>połeczny:  należy ułatwić przekazywanie potrzebującym żywności, która nadal nadaje się do spożycia, lecz z przyczyn logistycznych lub marketingowych nie może zostać wprowadzona do obrotu. We wrześniu 2015 r. Zgromadzenie Ogólne Narodów Zjednoczonych przyję</w:t>
      </w:r>
      <w:r>
        <w:rPr>
          <w:rFonts w:ascii="Times New Roman" w:hAnsi="Times New Roman"/>
          <w:noProof/>
          <w:sz w:val="24"/>
        </w:rPr>
        <w:t xml:space="preserve">ło, w ramach celów zrównoważonego rozwoju na 2030 r., cel zmniejszenia o połowę odpadów spożywczych w przeliczeniu na osobę na poziomie handlu detalicznego i konsumentów oraz cel ograniczenia strat żywności w łańcuchu produkcji i łańcuchu dostaw. UE i jej </w:t>
      </w:r>
      <w:r>
        <w:rPr>
          <w:rFonts w:ascii="Times New Roman" w:hAnsi="Times New Roman"/>
          <w:noProof/>
          <w:sz w:val="24"/>
        </w:rPr>
        <w:t>państwa członkowskie zobowiązały się zrealizować ten cel.</w:t>
      </w:r>
    </w:p>
    <w:p w14:paraId="7F9C2064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Marnotrawienie żywności ma miejsce na każdym etapie łańcucha wartości: podczas produkcji i dystrybucji, w sklepach, restauracjach, obiektach gastronomicznych i w domach. Z tego względu jest ono szcz</w:t>
      </w:r>
      <w:r>
        <w:rPr>
          <w:rFonts w:ascii="Times New Roman" w:hAnsi="Times New Roman"/>
          <w:noProof/>
          <w:sz w:val="24"/>
        </w:rPr>
        <w:t>ególnie trudne do oszacowania: obecnie nie ma zharmonizowanej, niezawodnej metody mierzenia marnotrawstwa żywności w UE, co utrudnia organom publicznym ocenę jego rozmiaru, źródeł i tendencji w czasie. Rozwiązanie kwestii pomiaru jest ważnym krokiem w kier</w:t>
      </w:r>
      <w:r>
        <w:rPr>
          <w:rFonts w:ascii="Times New Roman" w:hAnsi="Times New Roman"/>
          <w:noProof/>
          <w:sz w:val="24"/>
        </w:rPr>
        <w:t>unku lepszego zrozumienia problemu, spójnego monitorowania go i prowadzenia dotyczącej go sprawozdawczości oraz skutecznej wymiany dobrych praktyk w tym zakresie w całej UE. Komisja opracuje wspólne unijne metody pomiaru ilości odpadów spożywczych w ścisłe</w:t>
      </w:r>
      <w:r>
        <w:rPr>
          <w:rFonts w:ascii="Times New Roman" w:hAnsi="Times New Roman"/>
          <w:noProof/>
          <w:sz w:val="24"/>
        </w:rPr>
        <w:t xml:space="preserve">j współpracy z państwami członkowskimi i zainteresowanymi stronami. </w:t>
      </w:r>
    </w:p>
    <w:p w14:paraId="2393A812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zapobiec marnotrawieniu żywności i znaleźć rozwiązania dostosowane do sytuacji w poszczególnych krajach i regionach, niezbędne jest podjęcie działań przez państwa członkowskie, region</w:t>
      </w:r>
      <w:r>
        <w:rPr>
          <w:rFonts w:ascii="Times New Roman" w:hAnsi="Times New Roman"/>
          <w:noProof/>
          <w:sz w:val="24"/>
        </w:rPr>
        <w:t>y, miasta oraz przedsiębiorstwa na każdym etapie łańcucha wartości. W celu zmiany wzorców zachowań należy przeprowadzić kampanie uświadamiające. Komisja wspiera kampanie informacyjne na szczeblu krajowym, regionalnym i lokalnym oraz rozpowszechnianie dobry</w:t>
      </w:r>
      <w:r>
        <w:rPr>
          <w:rFonts w:ascii="Times New Roman" w:hAnsi="Times New Roman"/>
          <w:noProof/>
          <w:sz w:val="24"/>
        </w:rPr>
        <w:t>ch praktyk w zakresie zapobiegania marnotrawstwu żywności</w:t>
      </w:r>
      <w:r>
        <w:rPr>
          <w:rStyle w:val="Odwoanieprzypisudolnego"/>
          <w:noProof/>
        </w:rPr>
        <w:footnoteReference w:id="36"/>
      </w:r>
      <w:r>
        <w:rPr>
          <w:rFonts w:ascii="Times New Roman" w:hAnsi="Times New Roman"/>
          <w:noProof/>
          <w:sz w:val="24"/>
        </w:rPr>
        <w:t xml:space="preserve">. </w:t>
      </w:r>
    </w:p>
    <w:p w14:paraId="72A38B3C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Komisja utworzy również platformę poświęconą marnotrawieniu żywności, z udziałem państw członkowskich i wszystkich podmiotów uczestniczących w łańcuchu żywnościowym. Platforma ta będzie stanowić</w:t>
      </w:r>
      <w:r>
        <w:rPr>
          <w:rFonts w:ascii="Times New Roman" w:hAnsi="Times New Roman"/>
          <w:noProof/>
          <w:sz w:val="24"/>
        </w:rPr>
        <w:t xml:space="preserve"> wsparcie w osiąganiu celu redukcji odpadów spożywczych w ramach celów zrównoważonego rozwoju dzięki odpowiednim działaniom, zaangażowaniu zainteresowanych podmiotów oraz wymianie udanych rozwiązań innowacyjnych i odpowiednich analiz porównawczych.</w:t>
      </w:r>
    </w:p>
    <w:p w14:paraId="07216EB1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Działan</w:t>
      </w:r>
      <w:r>
        <w:rPr>
          <w:rFonts w:ascii="Times New Roman" w:hAnsi="Times New Roman"/>
          <w:noProof/>
          <w:sz w:val="24"/>
        </w:rPr>
        <w:t>ia UE są również ważne w tych dziedzinach, w których odpady spożywcze mogą wynikać ze sposobu, w jaki przepisy UE są interpretowane lub stosowane. Tak jest w przypadku przepisów dotyczących darowizn żywności na rzecz banków żywności oraz wykorzystania nies</w:t>
      </w:r>
      <w:r>
        <w:rPr>
          <w:rFonts w:ascii="Times New Roman" w:hAnsi="Times New Roman"/>
          <w:noProof/>
          <w:sz w:val="24"/>
        </w:rPr>
        <w:t xml:space="preserve">przedanej żywności jako zasobu w sektorze pasz – Komisja podejmie działania w tych dwóch obszarach. </w:t>
      </w:r>
    </w:p>
    <w:p w14:paraId="28A03360" w14:textId="77777777" w:rsidR="008600A5" w:rsidRDefault="00520B94">
      <w:pPr>
        <w:spacing w:before="120"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Kolejnym obszarem wymagającym działania jest kwestia oznaczania daty, w szczególności daty minimalnej trwałości. Może ona być niewłaściwie interpretowana j</w:t>
      </w:r>
      <w:r>
        <w:rPr>
          <w:rFonts w:ascii="Times New Roman" w:hAnsi="Times New Roman"/>
          <w:noProof/>
          <w:sz w:val="24"/>
        </w:rPr>
        <w:t>ako data ważności i prowadzić do wyrzucania bezpiecznej i zdatnej do spożycia żywności. Komisja zbada sposoby propagowania skuteczniejszego stosowania i zrozumienia systemu oznaczania daty przez różne podmioty łańcucha żywnościowego. UE przyjęła również śr</w:t>
      </w:r>
      <w:r>
        <w:rPr>
          <w:rFonts w:ascii="Times New Roman" w:hAnsi="Times New Roman"/>
          <w:noProof/>
          <w:sz w:val="24"/>
        </w:rPr>
        <w:t>odki zapobiegające wyrzucaniu jadalnych ryb z powrotem do morza przez statki rybackie</w:t>
      </w:r>
      <w:r>
        <w:rPr>
          <w:rStyle w:val="Odwoanieprzypisudolnego"/>
          <w:noProof/>
        </w:rPr>
        <w:footnoteReference w:id="37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 </w:t>
      </w:r>
    </w:p>
    <w:p w14:paraId="24DFB0C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48CD5DF" w14:textId="77777777" w:rsidR="008600A5" w:rsidRDefault="00520B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W celu wsparcia realizacji celu zrównoważonego rozwoju dotyczącego marnotrawienia żywności oraz zwiększenia wkładu podmiotów uczestniczących w łańcuchu dostaw </w:t>
      </w:r>
      <w:r>
        <w:rPr>
          <w:rFonts w:ascii="Times New Roman" w:hAnsi="Times New Roman"/>
          <w:i/>
          <w:noProof/>
          <w:sz w:val="24"/>
        </w:rPr>
        <w:t>żywności Komisja:</w:t>
      </w:r>
    </w:p>
    <w:p w14:paraId="19F5AC39" w14:textId="77777777" w:rsidR="008600A5" w:rsidRDefault="00520B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opracuje wspólną unijną metodę pomiaru marnowania żywności oraz określi odpowiednie wskaźniki. Komisja utworzy platformę angażującą państwa członkowskie i zainteresowane podmioty w celu wspierania realizacji celów zrównoważonego rozwoju</w:t>
      </w:r>
      <w:r>
        <w:rPr>
          <w:rFonts w:ascii="Times New Roman" w:hAnsi="Times New Roman"/>
          <w:i/>
          <w:noProof/>
          <w:sz w:val="24"/>
        </w:rPr>
        <w:t xml:space="preserve"> w zakresie marnotrawienia żywności za pomocą wymiany najlepszych praktyk i oceny dokonywanych postępów;</w:t>
      </w:r>
    </w:p>
    <w:p w14:paraId="00DCC2E1" w14:textId="77777777" w:rsidR="008600A5" w:rsidRDefault="00520B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podejmie działania w celu wyjaśnienia przepisów UE dotyczących odpadów, żywności i paszy oraz ułatwi przekazywanie darowizn żywności i ponowne wykorz</w:t>
      </w:r>
      <w:r>
        <w:rPr>
          <w:rFonts w:ascii="Times New Roman" w:hAnsi="Times New Roman"/>
          <w:i/>
          <w:noProof/>
          <w:sz w:val="24"/>
        </w:rPr>
        <w:t>ystywanie wycofanych środków spożywczych i produktów ubocznych pochodzących z produkcji pasz w łańcuchu żywności bez pogarszania bezpieczeństwa żywności i pasz; oraz</w:t>
      </w:r>
    </w:p>
    <w:p w14:paraId="302CDFBF" w14:textId="77777777" w:rsidR="008600A5" w:rsidRDefault="00520B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 - zbada sposoby poprawy stosowania systemu oznaczeń dat przez podmioty uczestniczące w ła</w:t>
      </w:r>
      <w:r>
        <w:rPr>
          <w:rFonts w:ascii="Times New Roman" w:hAnsi="Times New Roman"/>
          <w:i/>
          <w:noProof/>
          <w:sz w:val="24"/>
        </w:rPr>
        <w:t>ńcuchu żywnościowym i jego zrozumienia przez konsumentów, w szczególności sformułowania „najlepiej spożyć przed”.</w:t>
      </w:r>
    </w:p>
    <w:p w14:paraId="44906A18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342F98A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Surowce krytyczne</w:t>
      </w:r>
    </w:p>
    <w:p w14:paraId="6B6C0AF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AEE3619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Surowce krytyczne mają duże znaczenie gospodarcze dla UE i są podatne na zakłócenia w dostawach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8"/>
      </w:r>
      <w:r>
        <w:rPr>
          <w:rFonts w:ascii="Times New Roman" w:hAnsi="Times New Roman"/>
          <w:noProof/>
          <w:sz w:val="24"/>
        </w:rPr>
        <w:t>; w niektórych przypadkac</w:t>
      </w:r>
      <w:r>
        <w:rPr>
          <w:rFonts w:ascii="Times New Roman" w:hAnsi="Times New Roman"/>
          <w:noProof/>
          <w:sz w:val="24"/>
        </w:rPr>
        <w:t>h ich wydobycie powoduje również poważne skutki dla środowiska. Często są one stosowane w urządzeniach elektronicznych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39"/>
      </w:r>
      <w:r>
        <w:rPr>
          <w:rFonts w:ascii="Times New Roman" w:hAnsi="Times New Roman"/>
          <w:noProof/>
          <w:sz w:val="24"/>
        </w:rPr>
        <w:t>. Obecny bardzo niski wskaźnik recyklingu tych materiałów oznacza, że traci się znaczące możliwości gospodarcze. Z tych wszystkich wzglę</w:t>
      </w:r>
      <w:r>
        <w:rPr>
          <w:rFonts w:ascii="Times New Roman" w:hAnsi="Times New Roman"/>
          <w:noProof/>
          <w:sz w:val="24"/>
        </w:rPr>
        <w:t xml:space="preserve">dów zwiększenie odzysku surowców krytycznych jest jedną z kwestii, które należy rozwiązać, aby możliwe było przejście na gospodarkę o obiegu zamkniętym. </w:t>
      </w:r>
    </w:p>
    <w:p w14:paraId="0F9E1AC0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74FE08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Istniejące przepisy UE zachęcają do recyklingu odpadów elektronicznych, w tym za pośrednictwem wiążąc</w:t>
      </w:r>
      <w:r>
        <w:rPr>
          <w:rFonts w:ascii="Times New Roman" w:hAnsi="Times New Roman"/>
          <w:noProof/>
          <w:sz w:val="24"/>
        </w:rPr>
        <w:t>ych celów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0"/>
      </w:r>
      <w:r>
        <w:rPr>
          <w:rFonts w:ascii="Times New Roman" w:hAnsi="Times New Roman"/>
          <w:noProof/>
          <w:sz w:val="24"/>
        </w:rPr>
        <w:t>, lecz jedynie wysokiej jakości recykling może zapewnić odzyskiwanie surowców krytycznych. Jednym z wyzwań jest zbieranie, demontaż i recykling produktów zawierających takie surowce. Istotne będzie zwiększenie przydatności do recyklingu urządzeń</w:t>
      </w:r>
      <w:r>
        <w:rPr>
          <w:rFonts w:ascii="Times New Roman" w:hAnsi="Times New Roman"/>
          <w:noProof/>
          <w:sz w:val="24"/>
        </w:rPr>
        <w:t xml:space="preserve"> elektronicznych w fazie projektu produktu (zob. sekcja 1.1), co poprawi </w:t>
      </w:r>
      <w:r>
        <w:rPr>
          <w:rFonts w:ascii="Times New Roman" w:hAnsi="Times New Roman"/>
          <w:noProof/>
          <w:sz w:val="24"/>
        </w:rPr>
        <w:lastRenderedPageBreak/>
        <w:t>jednocześnie efektywność ekonomiczną procesu recyklingu.  W swoich zmienionych wnioskach dotyczących odpadów Komisja zachęca państwa członkowskie do propagowania recyklingu surowców k</w:t>
      </w:r>
      <w:r>
        <w:rPr>
          <w:rFonts w:ascii="Times New Roman" w:hAnsi="Times New Roman"/>
          <w:noProof/>
          <w:sz w:val="24"/>
        </w:rPr>
        <w:t xml:space="preserve">rytycznych. </w:t>
      </w:r>
    </w:p>
    <w:p w14:paraId="0642614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B9AE1F8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Inne przeszkody to niewystarczająca wymiana informacji pomiędzy producentami a zakładami recyklingu produktów elektronicznych, brak norm w zakresie recyklingu oraz brak danych dla podmiotów gospodarczych na temat możliwości </w:t>
      </w:r>
      <w:r>
        <w:rPr>
          <w:rFonts w:ascii="Times New Roman" w:hAnsi="Times New Roman"/>
          <w:noProof/>
          <w:sz w:val="24"/>
        </w:rPr>
        <w:t>recyklingu surowców krytycznych. Materiały te mogłyby być również odzyskiwane na składowiskach (np. z zużytych urządzeń elektronicznych) lub w niektórych przypadkach z odpadów górniczych. Komisja opracowuje programy badań naukowych i innowacji, projekty do</w:t>
      </w:r>
      <w:r>
        <w:rPr>
          <w:rFonts w:ascii="Times New Roman" w:hAnsi="Times New Roman"/>
          <w:noProof/>
          <w:sz w:val="24"/>
        </w:rPr>
        <w:t>tyczące wymiany danych i informacji oraz będzie rozpowszechniać najlepsze praktyki we wszystkich tych kwestiach. W celu zapewnienia spójnego i skutecznego podejścia, aby zapewnić kluczowe źródła danych i zidentyfikować obszary dalszych działań, Komisja prz</w:t>
      </w:r>
      <w:r>
        <w:rPr>
          <w:rFonts w:ascii="Times New Roman" w:hAnsi="Times New Roman"/>
          <w:noProof/>
          <w:sz w:val="24"/>
        </w:rPr>
        <w:t>ygotuje sprawozdanie na temat surowców krytycznych w gospodarce o obiegu zamkniętym.</w:t>
      </w:r>
    </w:p>
    <w:p w14:paraId="3FDBC6A1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D5FD8AA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podejmie szereg działań, aby propagować odzyskiwanie surowców krytycznych, a także przygotuje sprawozdanie opisujące najlepsze praktyki i możliwości dalszych dz</w:t>
      </w:r>
      <w:r>
        <w:rPr>
          <w:rFonts w:ascii="Times New Roman" w:hAnsi="Times New Roman"/>
          <w:i/>
          <w:noProof/>
          <w:sz w:val="24"/>
        </w:rPr>
        <w:t xml:space="preserve">iałań. </w:t>
      </w:r>
    </w:p>
    <w:p w14:paraId="1107EB38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W swoich zmienionych wnioskach dotyczących odpadów Komisja zachęca państwa członkowskie do podjęcia działań w tej kwestii.</w:t>
      </w:r>
    </w:p>
    <w:p w14:paraId="77D787C0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w:tab/>
      </w:r>
      <w:r>
        <w:rPr>
          <w:rFonts w:ascii="Times New Roman" w:hAnsi="Times New Roman"/>
          <w:noProof/>
          <w:sz w:val="24"/>
        </w:rPr>
        <w:t xml:space="preserve"> </w:t>
      </w:r>
    </w:p>
    <w:p w14:paraId="227FCABC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Odpady z budowy i rozbiórki</w:t>
      </w:r>
    </w:p>
    <w:p w14:paraId="1B915D0D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AB6B87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Pod względem wielkości produkcji sektory budowy i rozbiórki są jednym z największych źródeł odpadów w Europie. Wiele z tych materiałów można poddać recyklingowi lub mogą one zostać ponownie użyte, ale poziom ponownego użycia i recyklingu jest bardzo zróżni</w:t>
      </w:r>
      <w:r>
        <w:rPr>
          <w:rFonts w:ascii="Times New Roman" w:hAnsi="Times New Roman"/>
          <w:noProof/>
          <w:sz w:val="24"/>
        </w:rPr>
        <w:t xml:space="preserve">cowany w UE. Budownictwo odgrywa również rolę w efektywności środowiskowej budynków i infrastruktury w całym okresie ich użytkowania. </w:t>
      </w:r>
    </w:p>
    <w:p w14:paraId="7548EF8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A1A3E47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Recykling odpadów budowlanych i rozbiórkowych jest podbudowany ogólnounijnym obowiązkowym celem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1"/>
      </w:r>
      <w:r>
        <w:rPr>
          <w:rFonts w:ascii="Times New Roman" w:hAnsi="Times New Roman"/>
          <w:noProof/>
          <w:sz w:val="24"/>
        </w:rPr>
        <w:t>, ale należy jeszcze ro</w:t>
      </w:r>
      <w:r>
        <w:rPr>
          <w:rFonts w:ascii="Times New Roman" w:hAnsi="Times New Roman"/>
          <w:noProof/>
          <w:sz w:val="24"/>
        </w:rPr>
        <w:t>związać wiele problemów w terenie, jeżeli gospodarka odpadami w tym sektorze ma ulec poprawie. Na przykład cenne materiały nie zawsze są identyfikowane, zbierane selektywnie lub odpowiednio odzyskiwane. Komisja opracuje ukierunkowane wytyczne, jakie należy</w:t>
      </w:r>
      <w:r>
        <w:rPr>
          <w:rFonts w:ascii="Times New Roman" w:hAnsi="Times New Roman"/>
          <w:noProof/>
          <w:sz w:val="24"/>
        </w:rPr>
        <w:t xml:space="preserve"> w tym celu stosować na placach rozbiórki, w tym dotyczące przetwarzania odpadów niebezpiecznych, a obecnie propaguje już systemy sortowania odpadów budowlanych i rozbiórkowych w zmienionych wnioskach w sprawie odpadów. Będzie ona również pomagać w rozpows</w:t>
      </w:r>
      <w:r>
        <w:rPr>
          <w:rFonts w:ascii="Times New Roman" w:hAnsi="Times New Roman"/>
          <w:noProof/>
          <w:sz w:val="24"/>
        </w:rPr>
        <w:t>zechnianiu najlepszych praktyk dzięki opracowaniu dobrowolnych protokołów recyklingu w oparciu o najwyższe wspólne normy dla każdego strumienia odpadów. Komisja prowadzi obecnie badanie mające na celu identyfikację przeszkód i bodźców w zakresie recyklingu</w:t>
      </w:r>
      <w:r>
        <w:rPr>
          <w:rFonts w:ascii="Times New Roman" w:hAnsi="Times New Roman"/>
          <w:noProof/>
          <w:sz w:val="24"/>
        </w:rPr>
        <w:t xml:space="preserve"> odpadów z budowy i rozbiórki oraz najlepszych praktyk w tej dziedzinie.</w:t>
      </w:r>
    </w:p>
    <w:p w14:paraId="2BD3E5A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1E6340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lastRenderedPageBreak/>
        <w:t>Z uwagi na długi okres użytkowania budynków, niezbędne jest rozpowszechnianie udoskonaleń projektu, które ograniczą oddziaływanie na środowisko i zwiększą trwałość i możliwości recyk</w:t>
      </w:r>
      <w:r>
        <w:rPr>
          <w:rFonts w:ascii="Times New Roman" w:hAnsi="Times New Roman"/>
          <w:noProof/>
          <w:sz w:val="24"/>
        </w:rPr>
        <w:t>lingu ich komponentów. Komisja opracuje wskaźniki służące do oceny efektywności środowiskowej przez cały cykl życia budynku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2"/>
      </w:r>
      <w:r>
        <w:rPr>
          <w:rFonts w:ascii="Times New Roman" w:hAnsi="Times New Roman"/>
          <w:noProof/>
          <w:sz w:val="24"/>
        </w:rPr>
        <w:t>, a także będzie propagować ich stosowanie w projektach budowlanych w ramach dużych projektów demonstracyjnych oraz w wytycznych do</w:t>
      </w:r>
      <w:r>
        <w:rPr>
          <w:rFonts w:ascii="Times New Roman" w:hAnsi="Times New Roman"/>
          <w:noProof/>
          <w:sz w:val="24"/>
        </w:rPr>
        <w:t xml:space="preserve">tyczących zielonych zamówień publicznych. </w:t>
      </w:r>
    </w:p>
    <w:p w14:paraId="57D28CCE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3708CBC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podejmie szereg działań zapewniających odzysk cennych zasobów i odpowiednie gospodarowanie odpadami w sektorze budownictwa i rozbiórki, jak również ułatwiających ocenę efektywności środowiskowej budynkó</w:t>
      </w:r>
      <w:r>
        <w:rPr>
          <w:rFonts w:ascii="Times New Roman" w:hAnsi="Times New Roman"/>
          <w:i/>
          <w:noProof/>
          <w:sz w:val="24"/>
        </w:rPr>
        <w:t>w.</w:t>
      </w:r>
    </w:p>
    <w:p w14:paraId="4FD3D03A" w14:textId="77777777" w:rsidR="008600A5" w:rsidRDefault="008600A5">
      <w:pPr>
        <w:rPr>
          <w:rFonts w:ascii="Times New Roman" w:hAnsi="Times New Roman" w:cs="Times New Roman"/>
          <w:noProof/>
          <w:sz w:val="24"/>
          <w:szCs w:val="24"/>
        </w:rPr>
      </w:pPr>
    </w:p>
    <w:p w14:paraId="0BE8294D" w14:textId="77777777" w:rsidR="008600A5" w:rsidRDefault="00520B9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Biomasa i bioprodukty</w:t>
      </w:r>
    </w:p>
    <w:p w14:paraId="6485157C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961DD2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Materiały pochodzenia biologicznego, tj. oparte zasobach biologicznych (takich jak drewno, uprawy lub włókna), mogą być wykorzystywane w wielu produktach (w budownictwie, w przemyśle meblarskim, papierniczym, spożywczym, włókienn</w:t>
      </w:r>
      <w:r>
        <w:rPr>
          <w:rFonts w:ascii="Times New Roman" w:hAnsi="Times New Roman"/>
          <w:noProof/>
          <w:sz w:val="24"/>
        </w:rPr>
        <w:t xml:space="preserve">iczym, chemicznym, itp.) i do celów produkcji energii (na przykład biopaliw). Biogospodarka stanowi zatem alternatywę dla produktów i energii opartych na paliwach kopalnych i może przyczynić się do rozwoju gospodarki o obiegu zamkniętym. Zaletą materiałów </w:t>
      </w:r>
      <w:r>
        <w:rPr>
          <w:rFonts w:ascii="Times New Roman" w:hAnsi="Times New Roman"/>
          <w:noProof/>
          <w:sz w:val="24"/>
        </w:rPr>
        <w:t>pochodzenia biologicznego może również być ich odnawialność, biodegradowalność i kompostowalność. Jednocześnie stosowanie zasobów biologicznych wymaga szczególnej uwagi ze względu na ich cykl życia, skutki dla środowiska i zrównoważone pozyskiwanie. Wielor</w:t>
      </w:r>
      <w:r>
        <w:rPr>
          <w:rFonts w:ascii="Times New Roman" w:hAnsi="Times New Roman"/>
          <w:noProof/>
          <w:sz w:val="24"/>
        </w:rPr>
        <w:t>akie możliwości ich wykorzystania mogą również być przyczyną konkurencji w ich pozyskiwaniu oraz tworzyć presję na użytkowanie gruntów. Komisja dokona analizy wkładu swojej strategii na rzecz biogospodarki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3"/>
      </w:r>
      <w:r>
        <w:rPr>
          <w:rFonts w:ascii="Times New Roman" w:hAnsi="Times New Roman"/>
          <w:noProof/>
          <w:sz w:val="24"/>
        </w:rPr>
        <w:t xml:space="preserve"> z 2012 r. w gospodarkę o obiegu zamkniętym i roz</w:t>
      </w:r>
      <w:r>
        <w:rPr>
          <w:rFonts w:ascii="Times New Roman" w:hAnsi="Times New Roman"/>
          <w:noProof/>
          <w:sz w:val="24"/>
        </w:rPr>
        <w:t>waży możliwość jej aktualizacji.</w:t>
      </w:r>
    </w:p>
    <w:p w14:paraId="7A02F114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DE78CC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 gospodarce o obiegu zamkniętym, w stosownych przypadkach, należy zachęcać do kaskadowego wykorzystywania zasobów odnawialnych, z kilkoma cyklami ponownego użycia i recyklingu. Materiały pochodzenia biologicznego, na przy</w:t>
      </w:r>
      <w:r>
        <w:rPr>
          <w:rFonts w:ascii="Times New Roman" w:hAnsi="Times New Roman"/>
          <w:noProof/>
          <w:sz w:val="24"/>
        </w:rPr>
        <w:t>kład drewno, mogą być wykorzystywane na różne sposoby, a ponowne użycie i recykling mogą odbywać się kilkakrotnie. Łączy się to ze stosowaniem hierarchii postępowania z odpadami (w tym dotyczącej żywności – zob. sekcja 5.2) i, bardziej ogólnie, opcji przyn</w:t>
      </w:r>
      <w:r>
        <w:rPr>
          <w:rFonts w:ascii="Times New Roman" w:hAnsi="Times New Roman"/>
          <w:noProof/>
          <w:sz w:val="24"/>
        </w:rPr>
        <w:t xml:space="preserve">oszących najlepszy ogólny skutek środowiskowy. Pozytywny wpływ mogą mieć krajowe środki, takie jak systemy rozszerzonej odpowiedzialności producenta w przypadku mebli czy opakowań z drewna lub selektywne zbieranie odpadów z drewna. Komisja będzie pracować </w:t>
      </w:r>
      <w:r>
        <w:rPr>
          <w:rFonts w:ascii="Times New Roman" w:hAnsi="Times New Roman"/>
          <w:noProof/>
          <w:sz w:val="24"/>
        </w:rPr>
        <w:t>nad identyfikacją najlepszych praktyk i dzieleniem się nimi w tym sektorze oraz będzie sprzyjać innowacjom. Zmienione wnioski ustawodawcze dotyczące odpadów zawierają również obowiązkowy ogólnounijny cel w zakresie recyklingu odpadów z drewnianych materiał</w:t>
      </w:r>
      <w:r>
        <w:rPr>
          <w:rFonts w:ascii="Times New Roman" w:hAnsi="Times New Roman"/>
          <w:noProof/>
          <w:sz w:val="24"/>
        </w:rPr>
        <w:t>ów opakowaniowych.  Ponadto przy ocenie zrównoważoności bioenergii w ramach unii energetycznej Komisja będzie wspierać synergię z gospodarką o obiegu zamkniętym.</w:t>
      </w:r>
    </w:p>
    <w:p w14:paraId="171028D3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FAF686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Sektor bioproduktów wykazał również swój potencjał innowacyjny w odniesieniu do nowych materi</w:t>
      </w:r>
      <w:r>
        <w:rPr>
          <w:rFonts w:ascii="Times New Roman" w:hAnsi="Times New Roman"/>
          <w:noProof/>
          <w:sz w:val="24"/>
        </w:rPr>
        <w:t>ałów, chemikaliów i procesów, które mogą stanowić integralną część gospodarki o obiegu zamkniętym. Wykorzystanie tego potencjału zależy w szczególności od inwestycji w zintegrowane biorafinerie zdolne do przetwarzania biomasy i bioodpadów dla różnych zasto</w:t>
      </w:r>
      <w:r>
        <w:rPr>
          <w:rFonts w:ascii="Times New Roman" w:hAnsi="Times New Roman"/>
          <w:noProof/>
          <w:sz w:val="24"/>
        </w:rPr>
        <w:t>sowań końcowych. UE wspiera te inwestycje i inne innowacyjne projekty w dziedzinie biogospodarki poprzez finansowanie badań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4"/>
      </w:r>
      <w:r>
        <w:rPr>
          <w:rFonts w:ascii="Times New Roman" w:hAnsi="Times New Roman"/>
          <w:noProof/>
          <w:sz w:val="24"/>
        </w:rPr>
        <w:t>.</w:t>
      </w:r>
    </w:p>
    <w:p w14:paraId="73D064A5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CB1F259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 xml:space="preserve">- Komisja będzie propagować efektywne wykorzystywanie biozasobów za pomocą środków takich jak wytyczne i upowszechnianie najlepszych praktyk w zakresie kaskadowego wykorzystywania biomasy oraz wspieranie innowacji w biogospodarce. </w:t>
      </w:r>
    </w:p>
    <w:p w14:paraId="71AB0317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Zmienione wnioski usta</w:t>
      </w:r>
      <w:r>
        <w:rPr>
          <w:rFonts w:ascii="Times New Roman" w:hAnsi="Times New Roman"/>
          <w:i/>
          <w:noProof/>
          <w:sz w:val="24"/>
        </w:rPr>
        <w:t xml:space="preserve">wodawcze dotyczące odpadów zawierają wartość docelową dla recyklingu drewnianych materiałów opakowaniowych i przepisy mające zagwarantować selektywne zbieranie bioodpadów. </w:t>
      </w:r>
    </w:p>
    <w:p w14:paraId="48A2837D" w14:textId="77777777" w:rsidR="008600A5" w:rsidRDefault="008600A5">
      <w:pPr>
        <w:spacing w:after="0"/>
        <w:jc w:val="both"/>
        <w:rPr>
          <w:noProof/>
        </w:rPr>
      </w:pPr>
    </w:p>
    <w:p w14:paraId="1D9B2F40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Innowacje, inwestycje oraz inne środki horyzontalne</w:t>
      </w:r>
    </w:p>
    <w:p w14:paraId="65705FBF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31616C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Przejście na gospodarkę o obi</w:t>
      </w:r>
      <w:r>
        <w:rPr>
          <w:rFonts w:ascii="Times New Roman" w:hAnsi="Times New Roman"/>
          <w:noProof/>
          <w:sz w:val="24"/>
        </w:rPr>
        <w:t>egu zamkniętym jest zmianą systemową. Oprócz ukierunkowanych działań na każdym etapie łańcucha wartości i w kluczowych sektorach, konieczne jest stworzenie warunków, w których gospodarka o obiegu zamkniętym może odnosić sukcesy i w których można zmobilizow</w:t>
      </w:r>
      <w:r>
        <w:rPr>
          <w:rFonts w:ascii="Times New Roman" w:hAnsi="Times New Roman"/>
          <w:noProof/>
          <w:sz w:val="24"/>
        </w:rPr>
        <w:t xml:space="preserve">ać środki.  </w:t>
      </w:r>
    </w:p>
    <w:p w14:paraId="2173A0F7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BF2D5B5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Innowacje odegrają główną rolę w tej zmianie systemowej. Aby gruntownie zmienić nasze sposoby produkcji i konsumpcji oraz przekształcić odpady w produkty o wysokiej wartości dodanej, będziemy potrzebowali nowych technologii, procesów, usług i</w:t>
      </w:r>
      <w:r>
        <w:rPr>
          <w:rFonts w:ascii="Times New Roman" w:hAnsi="Times New Roman"/>
          <w:noProof/>
          <w:sz w:val="24"/>
        </w:rPr>
        <w:t xml:space="preserve"> modeli biznesowych, które ukształtują przyszłość naszej gospodarki i społeczeństwa. W związku z tym wspieranie badań i innowacji będzie stanowić główną zachętę do takiej transformacji, przyczyni się także do zwiększenia konkurencyjności i do modernizacji </w:t>
      </w:r>
      <w:r>
        <w:rPr>
          <w:rFonts w:ascii="Times New Roman" w:hAnsi="Times New Roman"/>
          <w:noProof/>
          <w:sz w:val="24"/>
        </w:rPr>
        <w:t>przemysłu w UE. Program prac „Horyzont 2020” na lata 2016 – 2017 zawiera ważną inicjatywę „Przemysł 2020 w gospodarce o obiegu zamkniętym”, w ramach której budżet w wysokości ponad 650 mln EUR zostanie przeznaczony na innowacyjne projekty demonstracyjne ws</w:t>
      </w:r>
      <w:r>
        <w:rPr>
          <w:rFonts w:ascii="Times New Roman" w:hAnsi="Times New Roman"/>
          <w:noProof/>
          <w:sz w:val="24"/>
        </w:rPr>
        <w:t xml:space="preserve">pierające cele gospodarki o obiegu zamkniętym i konkurencyjność unijnego przemysłu w ramach działań w sektorach przemysłowych i usługowych, w tym w przemyśle przetwórczym, wytwórczym oraz w nowych modelach biznesowych. Zbadano również podejście pilotażowe </w:t>
      </w:r>
      <w:r>
        <w:rPr>
          <w:rFonts w:ascii="Times New Roman" w:hAnsi="Times New Roman"/>
          <w:noProof/>
          <w:sz w:val="24"/>
        </w:rPr>
        <w:t>mające pomóc innowatorom napotykającym przeszkody regulacyjne (w postaci np. niejasnych przepisów prawnych) dzięki zawieraniu porozumień z zainteresowanymi podmiotami i organami publicznymi („umowy dotyczące innowacji”).</w:t>
      </w:r>
    </w:p>
    <w:p w14:paraId="5DFD6083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6C60D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Inicjatywa dołącza do szerokiego w</w:t>
      </w:r>
      <w:r>
        <w:rPr>
          <w:rFonts w:ascii="Times New Roman" w:hAnsi="Times New Roman"/>
          <w:noProof/>
          <w:sz w:val="24"/>
        </w:rPr>
        <w:t>achlarza istniejących programów Horyzont 2020 mających na celu wspieranie innowacyjnych projektów dotyczących gospodarki o obiegu zamkniętym, w takich dziedzinach jak zapobieganie powstawaniu odpadów i gospodarowanie nimi, marnotrawienie żywności, regenera</w:t>
      </w:r>
      <w:r>
        <w:rPr>
          <w:rFonts w:ascii="Times New Roman" w:hAnsi="Times New Roman"/>
          <w:noProof/>
          <w:sz w:val="24"/>
        </w:rPr>
        <w:t xml:space="preserve">cja produktów, zrównoważone procesy </w:t>
      </w:r>
      <w:r>
        <w:rPr>
          <w:rFonts w:ascii="Times New Roman" w:hAnsi="Times New Roman"/>
          <w:noProof/>
          <w:sz w:val="24"/>
        </w:rPr>
        <w:lastRenderedPageBreak/>
        <w:t>przemysłowe, symbioza przemysłowa i biogospodarka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5"/>
      </w:r>
      <w:r>
        <w:rPr>
          <w:rFonts w:ascii="Times New Roman" w:hAnsi="Times New Roman"/>
          <w:noProof/>
          <w:sz w:val="24"/>
        </w:rPr>
        <w:t>. Zostaną one uzupełnione o realizację planu działania w zakresie ekoinnowacji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6"/>
      </w:r>
      <w:r>
        <w:rPr>
          <w:rFonts w:ascii="Times New Roman" w:hAnsi="Times New Roman"/>
          <w:noProof/>
          <w:sz w:val="24"/>
        </w:rPr>
        <w:t>.</w:t>
      </w:r>
    </w:p>
    <w:p w14:paraId="44CB5352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48545E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Ważne są również możliwości finansowania badań naukowych i innowacji dostępne w </w:t>
      </w:r>
      <w:r>
        <w:rPr>
          <w:rFonts w:ascii="Times New Roman" w:hAnsi="Times New Roman"/>
          <w:noProof/>
          <w:sz w:val="24"/>
        </w:rPr>
        <w:t>ramach polityki spójności: gospodarka o obiegu zamkniętym jest jednym z priorytetów wskazanych przez państwa członkowskie i regiony w ich strategiach inteligentnej specjalizacji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7"/>
      </w:r>
      <w:r>
        <w:rPr>
          <w:rFonts w:ascii="Times New Roman" w:hAnsi="Times New Roman"/>
          <w:noProof/>
          <w:sz w:val="24"/>
        </w:rPr>
        <w:t>. Komisja zapewni im dalsze wsparcie, w tym za pomocą platformy inteligentnej</w:t>
      </w:r>
      <w:r>
        <w:rPr>
          <w:rFonts w:ascii="Times New Roman" w:hAnsi="Times New Roman"/>
          <w:noProof/>
          <w:sz w:val="24"/>
        </w:rPr>
        <w:t xml:space="preserve"> specjalizacji.</w:t>
      </w:r>
    </w:p>
    <w:p w14:paraId="3CD9835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F90C811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Rozwój gospodarki o obiegu zamkniętym wymaga także publicznych i prywatnych źródeł finansowania, aby można było zwiększyć skalę ulepszonych technologii i procesów, rozwinąć infrastrukturę oraz zacieśnić współpracę między podmiotami w łańcu</w:t>
      </w:r>
      <w:r>
        <w:rPr>
          <w:rFonts w:ascii="Times New Roman" w:hAnsi="Times New Roman"/>
          <w:noProof/>
          <w:sz w:val="24"/>
        </w:rPr>
        <w:t>chu wartości. Istotne wsparcie dla tych celów będzie pochodzić z unijnych programów finansowania, takich jak polityka spójności, programy LIFE i COSME. Na przykład fundusze polityki spójności są ukierunkowane na coraz większą liczbę programów na rzecz gosp</w:t>
      </w:r>
      <w:r>
        <w:rPr>
          <w:rFonts w:ascii="Times New Roman" w:hAnsi="Times New Roman"/>
          <w:noProof/>
          <w:sz w:val="24"/>
        </w:rPr>
        <w:t>odarki o obiegu zamkniętym, łącznie ze wsparciem dla programów ponownego użycia i napraw, ulepszonych procesów produkcyjnych, projektowania produktów i MŚP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8"/>
      </w:r>
      <w:r>
        <w:rPr>
          <w:rFonts w:ascii="Times New Roman" w:hAnsi="Times New Roman"/>
          <w:noProof/>
          <w:sz w:val="24"/>
        </w:rPr>
        <w:t>. Komisja wesprze państwa członkowskie, regiony i organy lokalne w umacnianiu gospodarki o obiegu z</w:t>
      </w:r>
      <w:r>
        <w:rPr>
          <w:rFonts w:ascii="Times New Roman" w:hAnsi="Times New Roman"/>
          <w:noProof/>
          <w:sz w:val="24"/>
        </w:rPr>
        <w:t>amkniętym, w tym za pomocą ukierunkowanych działań informacyjnych.  Należy ukierunkować finansowanie prywatne na nowe możliwości stworzone dzięki przejściu na gospodarkę o obiegu zamkniętym. Dla sektora finansowego tego rodzaju projekty mogą znacznie różni</w:t>
      </w:r>
      <w:r>
        <w:rPr>
          <w:rFonts w:ascii="Times New Roman" w:hAnsi="Times New Roman"/>
          <w:noProof/>
          <w:sz w:val="24"/>
        </w:rPr>
        <w:t>ć się od dotychczasowego scenariusza postępowania. Europejski Fundusz na rzecz Inwestycji Strategicznych (EFIS) jest jednym z instrumentów, które mogą być wykorzystywane do finansowania takich inwestycji. Wraz z Europejskim Bankiem Inwestycyjnym (EBI) oraz</w:t>
      </w:r>
      <w:r>
        <w:rPr>
          <w:rFonts w:ascii="Times New Roman" w:hAnsi="Times New Roman"/>
          <w:noProof/>
          <w:sz w:val="24"/>
        </w:rPr>
        <w:t xml:space="preserve"> Europejskim Centrum Doradztwa Inwestycyjnego, Komisja będzie prowadzić działania informacyjne, by zachęcić do składania wniosków o finansowanie oraz wspierać rozwój projektów i platform inwestycyjnych istotnych dla gospodarki o obiegu zamkniętym, np. w dz</w:t>
      </w:r>
      <w:r>
        <w:rPr>
          <w:rFonts w:ascii="Times New Roman" w:hAnsi="Times New Roman"/>
          <w:noProof/>
          <w:sz w:val="24"/>
        </w:rPr>
        <w:t>iedzinie recyklingu tworzyw sztucznych lub minerałów. Przeprowadzone zostaną prace w celu tworzenia międzysektorowych klastrów i łączenia zasobów, aby umożliwić opracowywanie projektów o wymiarze europejskim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49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Ponadto projekty dotyczące gospodarki o obieg</w:t>
      </w:r>
      <w:r>
        <w:rPr>
          <w:rFonts w:ascii="Times New Roman" w:hAnsi="Times New Roman"/>
          <w:noProof/>
          <w:sz w:val="24"/>
        </w:rPr>
        <w:t>u zamkniętym mogą korzystać z doradztwa i narzędzi finansowania EBI w ramach programu InnovFin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0"/>
      </w:r>
      <w:r>
        <w:rPr>
          <w:noProof/>
        </w:rPr>
        <w:t>.</w:t>
      </w:r>
      <w:r>
        <w:rPr>
          <w:rFonts w:ascii="Times New Roman" w:hAnsi="Times New Roman"/>
          <w:noProof/>
          <w:sz w:val="24"/>
        </w:rPr>
        <w:t xml:space="preserve"> Komisja analizuje również możliwość uruchomienia, wspólnie z EBI i bankami narodowymi, platformy na rzecz wspierania finansowania gospodarki o obiegu zamknięt</w:t>
      </w:r>
      <w:r>
        <w:rPr>
          <w:rFonts w:ascii="Times New Roman" w:hAnsi="Times New Roman"/>
          <w:noProof/>
          <w:sz w:val="24"/>
        </w:rPr>
        <w:t>ym.</w:t>
      </w:r>
    </w:p>
    <w:p w14:paraId="7058331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AD614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MŚP, w tym przedsiębiorstwa społeczne, wniosą znaczący wkład w gospodarkę o obiegu zamkniętym: są one szczególnie aktywne w dziedzinach takich jak recykling, naprawa i innowacje. Stoją jednak w obliczu szczególnych wyzwań, takich jak dostęp do </w:t>
      </w:r>
      <w:r>
        <w:rPr>
          <w:rFonts w:ascii="Times New Roman" w:hAnsi="Times New Roman"/>
          <w:noProof/>
          <w:sz w:val="24"/>
        </w:rPr>
        <w:t>finansowania i trudności z uwzględnieniem gospodarki o obiegu zamkniętym, jeśli nie jest to ich główną działalnością. Jak określono w 2014 r. w planie działań ekologicznych dla MŚP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1"/>
      </w:r>
      <w:r>
        <w:rPr>
          <w:rFonts w:ascii="Times New Roman" w:hAnsi="Times New Roman"/>
          <w:noProof/>
          <w:sz w:val="24"/>
        </w:rPr>
        <w:t>, Komisja wspiera te przedsiębiorstwa, analizuje bariery, jakie napotykają</w:t>
      </w:r>
      <w:r>
        <w:rPr>
          <w:rFonts w:ascii="Times New Roman" w:hAnsi="Times New Roman"/>
          <w:noProof/>
          <w:sz w:val="24"/>
        </w:rPr>
        <w:t xml:space="preserve"> na drodze do lepszego wykorzystania zasobów i gospodarowania odpadami oraz zachęca je do innowacji i współpracy we wszystkich sektorach i regionach. Komisja zapewnia również dostęp do finansowania dla przedsiębiorstw społecznych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2"/>
      </w:r>
      <w:r>
        <w:rPr>
          <w:rFonts w:ascii="Times New Roman" w:hAnsi="Times New Roman"/>
          <w:noProof/>
          <w:sz w:val="24"/>
        </w:rPr>
        <w:t xml:space="preserve">. </w:t>
      </w:r>
    </w:p>
    <w:p w14:paraId="507901B5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4369B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Przestawienie się na </w:t>
      </w:r>
      <w:r>
        <w:rPr>
          <w:rFonts w:ascii="Times New Roman" w:hAnsi="Times New Roman"/>
          <w:noProof/>
          <w:sz w:val="24"/>
        </w:rPr>
        <w:t>gospodarkę o obiegu zamkniętym wymaga również wykwalifikowanej siły roboczej o konkretnych, a niekiedy nowych umiejętnościach oraz możliwości zatrudnienia i dialogu społecznego. Konieczne będzie zapewnienie odpowiednich systemów kształcenia i szkolenia, je</w:t>
      </w:r>
      <w:r>
        <w:rPr>
          <w:rFonts w:ascii="Times New Roman" w:hAnsi="Times New Roman"/>
          <w:noProof/>
          <w:sz w:val="24"/>
        </w:rPr>
        <w:t>śli na wszystkich poziomach mają zostać rozwinięte odpowiednie kwalifikacje.  Komisja kontynuuje działania podejmowane w ramach inicjatywy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3"/>
      </w:r>
      <w:r>
        <w:rPr>
          <w:rFonts w:ascii="Times New Roman" w:hAnsi="Times New Roman"/>
          <w:noProof/>
          <w:sz w:val="24"/>
        </w:rPr>
        <w:t xml:space="preserve"> w zakresie zielonego zatrudnienia, prowadząc działania służące przewidywaniu potrzeb i zachęcaniu do rozwijania umi</w:t>
      </w:r>
      <w:r>
        <w:rPr>
          <w:rFonts w:ascii="Times New Roman" w:hAnsi="Times New Roman"/>
          <w:noProof/>
          <w:sz w:val="24"/>
        </w:rPr>
        <w:t xml:space="preserve">ejętności oraz wprowadzając inne środki wspierające tworzenie miejsc pracy w zielonej gospodarce. Komisja działa również w ramach nowego programu na rzecz nowych umiejętności w Europie.   </w:t>
      </w:r>
    </w:p>
    <w:p w14:paraId="2E3AECE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59FB4A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Światowy wymiar gospodarki o obiegu zamkniętym i łańcuchów dostaw </w:t>
      </w:r>
      <w:r>
        <w:rPr>
          <w:rFonts w:ascii="Times New Roman" w:hAnsi="Times New Roman"/>
          <w:noProof/>
          <w:sz w:val="24"/>
        </w:rPr>
        <w:t xml:space="preserve">jest widoczny w dziedzinach takich jak zrównoważony środowiskowo wybór dostawców, odpady morskie, marnotrawienie żywności i coraz bardziej zglobalizowany rynek surowców wtórnych. W realizacji niniejszego planu działania Komisja będzie ściśle współpracować </w:t>
      </w:r>
      <w:r>
        <w:rPr>
          <w:rFonts w:ascii="Times New Roman" w:hAnsi="Times New Roman"/>
          <w:noProof/>
          <w:sz w:val="24"/>
        </w:rPr>
        <w:t xml:space="preserve">z organizacjami międzynarodowymi i innymi zainteresowanymi partnerami w ramach globalnego dążenia do realizacji celów zrównoważonego rozwoju na 2030 r. </w:t>
      </w:r>
    </w:p>
    <w:p w14:paraId="7AE18CB4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DFDE2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Wreszcie Komisja będzie aktywnie angażować zainteresowane strony w realizację niniejszego planu działa</w:t>
      </w:r>
      <w:r>
        <w:rPr>
          <w:rFonts w:ascii="Times New Roman" w:hAnsi="Times New Roman"/>
          <w:noProof/>
          <w:sz w:val="24"/>
        </w:rPr>
        <w:t>nia, w szczególności za pośrednictwem istniejących platform sektorowych. Będzie to uzupełniane o dalsze wsparcie dla partnerstw publiczno-prywatnych, dobrowolne rozwiązania biznesowe, wymianę najlepszych praktyk wśród państw członkowskich i regionów i obej</w:t>
      </w:r>
      <w:r>
        <w:rPr>
          <w:rFonts w:ascii="Times New Roman" w:hAnsi="Times New Roman"/>
          <w:noProof/>
          <w:sz w:val="24"/>
        </w:rPr>
        <w:t xml:space="preserve">mie konsultacje z partnerami społecznymi w przypadkach, w których zmiany mogą pociągać za sobą poważne skutki społeczne. </w:t>
      </w:r>
    </w:p>
    <w:p w14:paraId="5C59AB39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0A809F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Program prac „Horyzont 2020” na lata 2016 – 2017 zawiera ważną inicjatywę pt. „Przemysł 2020 w gospodarce o obiegu zamkniętym” wspi</w:t>
      </w:r>
      <w:r>
        <w:rPr>
          <w:rFonts w:ascii="Times New Roman" w:hAnsi="Times New Roman"/>
          <w:i/>
          <w:noProof/>
          <w:sz w:val="24"/>
        </w:rPr>
        <w:t xml:space="preserve">eraną budżetem w wysokości ponad 650 mln euro. </w:t>
      </w:r>
    </w:p>
    <w:p w14:paraId="68F54893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- Komisja zainicjuje pilotażowe działania w odniesieniu do „umów dotyczących innowacji” w celu zidentyfikowania i wyeliminowania ewentualnych przeszkód prawnych dla innowatorów.</w:t>
      </w:r>
    </w:p>
    <w:p w14:paraId="24EE1023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lastRenderedPageBreak/>
        <w:t>- Komisja zintensyfikuje swoje</w:t>
      </w:r>
      <w:r>
        <w:rPr>
          <w:rFonts w:ascii="Times New Roman" w:hAnsi="Times New Roman"/>
          <w:i/>
          <w:noProof/>
          <w:sz w:val="24"/>
        </w:rPr>
        <w:t xml:space="preserve"> działania w celu zmobilizowania zainteresowanych stron zaangażowanych w gospodarkę o obiegu zamkniętym, zwłaszcza w celu wprowadzenia w życie niniejszego planu działania. Komisja przeprowadzi także ukierunkowane działania informacyjne, aby przyczynić się </w:t>
      </w:r>
      <w:r>
        <w:rPr>
          <w:rFonts w:ascii="Times New Roman" w:hAnsi="Times New Roman"/>
          <w:i/>
          <w:noProof/>
          <w:sz w:val="24"/>
        </w:rPr>
        <w:t>do rozwoju projektów gospodarki o obiegu zamkniętym w odniesieniu do różnych źródeł finansowania UE, w szczególności funduszy polityki spójności.</w:t>
      </w:r>
    </w:p>
    <w:p w14:paraId="5BEDD54C" w14:textId="77777777" w:rsidR="008600A5" w:rsidRDefault="008600A5">
      <w:pPr>
        <w:rPr>
          <w:noProof/>
        </w:rPr>
      </w:pPr>
    </w:p>
    <w:p w14:paraId="4E1CA27E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Monitorowanie postępów w realizacji gospodarki o obiegu zamkniętym</w:t>
      </w:r>
    </w:p>
    <w:p w14:paraId="3B92AC77" w14:textId="77777777" w:rsidR="008600A5" w:rsidRDefault="008600A5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04EF3244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Aby można było oceniać postępy w realizac</w:t>
      </w:r>
      <w:r>
        <w:rPr>
          <w:rFonts w:ascii="Times New Roman" w:hAnsi="Times New Roman"/>
          <w:noProof/>
          <w:sz w:val="24"/>
        </w:rPr>
        <w:t>ji gospodarki o obiegu zamkniętym i skuteczność działań na szczeblu unijnym i krajowym, konieczne jest opracowanie zestawu rzetelnych wskaźników. Wiele istotnych danych już zgromadzonych przez Eurostat może stanowić podstawę dla takiego monitorowania. Pona</w:t>
      </w:r>
      <w:r>
        <w:rPr>
          <w:rFonts w:ascii="Times New Roman" w:hAnsi="Times New Roman"/>
          <w:noProof/>
          <w:sz w:val="24"/>
        </w:rPr>
        <w:t>dto tablica wyników dotyczących zasobooszczędności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4"/>
      </w:r>
      <w:r>
        <w:rPr>
          <w:rFonts w:ascii="Times New Roman" w:hAnsi="Times New Roman"/>
          <w:noProof/>
          <w:sz w:val="24"/>
        </w:rPr>
        <w:t xml:space="preserve"> i tablica wyników dotyczących surowców</w:t>
      </w:r>
      <w:r>
        <w:rPr>
          <w:rStyle w:val="Odwoanieprzypisudolnego"/>
          <w:rFonts w:ascii="Times New Roman" w:hAnsi="Times New Roman"/>
          <w:noProof/>
          <w:sz w:val="24"/>
        </w:rPr>
        <w:footnoteReference w:id="55"/>
      </w:r>
      <w:r>
        <w:rPr>
          <w:rFonts w:ascii="Times New Roman" w:hAnsi="Times New Roman"/>
          <w:noProof/>
          <w:sz w:val="24"/>
        </w:rPr>
        <w:t xml:space="preserve"> zawierają odpowiednie wskaźniki i analizy, które będą szczególnie przydatne przy śledzeniu postępów.</w:t>
      </w:r>
    </w:p>
    <w:p w14:paraId="676816CB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3F5D83" w14:textId="77777777" w:rsidR="008600A5" w:rsidRDefault="00520B94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Na tej podstawie Komisja będzie działać w ścisłej współpracy z Europejską Agencją Środowiska (EEA) i w porozumieniu z państwami </w:t>
      </w:r>
      <w:r>
        <w:rPr>
          <w:rFonts w:ascii="Times New Roman" w:hAnsi="Times New Roman"/>
          <w:noProof/>
          <w:sz w:val="24"/>
        </w:rPr>
        <w:t xml:space="preserve">członkowskimi zaproponuje stworzenie prostych i skutecznych ram monitorowania dla gospodarki o obiegu zamkniętym. Uzupełniając powyższe dwie tablice wyników, ramy te będą zawierać zestaw kluczowych, istotnych wskaźników, które uwzględniają główne elementy </w:t>
      </w:r>
      <w:r>
        <w:rPr>
          <w:rFonts w:ascii="Times New Roman" w:hAnsi="Times New Roman"/>
          <w:noProof/>
          <w:sz w:val="24"/>
        </w:rPr>
        <w:t>gospodarki o obiegu zamkniętym. Zostaną one opublikowane razem ze sprawozdaniem Komisji w sprawie celów zrównoważonego rozwoju i będą obejmować nowe wskaźniki dotyczące marnowania żywności (zob. sekcja 5.2) oraz wskaźniki oparte na danych Eurostatu i innyc</w:t>
      </w:r>
      <w:r>
        <w:rPr>
          <w:rFonts w:ascii="Times New Roman" w:hAnsi="Times New Roman"/>
          <w:noProof/>
          <w:sz w:val="24"/>
        </w:rPr>
        <w:t>h urzędowych danych obowiązujących w takich dziedzinach, jak bezpieczeństwo dostaw kluczowych surowców, naprawa i ponowne użycie, wytwarzanie odpadów i gospodarka nimi, handel surowcami wtórnymi w UE i z państwami trzecimi oraz stosowanie surowców poddanyc</w:t>
      </w:r>
      <w:r>
        <w:rPr>
          <w:rFonts w:ascii="Times New Roman" w:hAnsi="Times New Roman"/>
          <w:noProof/>
          <w:sz w:val="24"/>
        </w:rPr>
        <w:t>h recyklingowi w produktach. W razie potrzeby podjęte zostaną działania mające na celu poprawę jakości istniejących danych. Komisja przedstawi sprawozdanie z postępów we wdrażaniu niniejszego planu działania w ciągu pięciu lat po jego przyjęciu.</w:t>
      </w:r>
    </w:p>
    <w:p w14:paraId="5CF3366A" w14:textId="77777777" w:rsidR="008600A5" w:rsidRDefault="008600A5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97B79D0" w14:textId="77777777" w:rsidR="008600A5" w:rsidRDefault="00520B9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>
        <w:rPr>
          <w:rFonts w:ascii="Times New Roman" w:hAnsi="Times New Roman"/>
          <w:i/>
          <w:noProof/>
          <w:sz w:val="24"/>
        </w:rPr>
        <w:t>W ścisłej</w:t>
      </w:r>
      <w:r>
        <w:rPr>
          <w:rFonts w:ascii="Times New Roman" w:hAnsi="Times New Roman"/>
          <w:i/>
          <w:noProof/>
          <w:sz w:val="24"/>
        </w:rPr>
        <w:t xml:space="preserve"> współpracy z EEA oraz po konsultacji z państwami członkowskimi Komisja opracuje ramy monitorowania gospodarki o obiegu zamkniętym, służące do pomiaru postępów na podstawie wiarygodnych istniejących danych</w:t>
      </w:r>
      <w:r>
        <w:rPr>
          <w:rStyle w:val="Odwoanieprzypisudolnego"/>
          <w:rFonts w:ascii="Times New Roman" w:hAnsi="Times New Roman"/>
          <w:i/>
          <w:noProof/>
          <w:sz w:val="24"/>
        </w:rPr>
        <w:footnoteReference w:id="56"/>
      </w:r>
      <w:r>
        <w:rPr>
          <w:rFonts w:ascii="Times New Roman" w:hAnsi="Times New Roman"/>
          <w:i/>
          <w:noProof/>
          <w:sz w:val="24"/>
        </w:rPr>
        <w:t xml:space="preserve">. </w:t>
      </w:r>
    </w:p>
    <w:p w14:paraId="10FD23B1" w14:textId="77777777" w:rsidR="008600A5" w:rsidRDefault="008600A5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5A4EEBFB" w14:textId="77777777" w:rsidR="008600A5" w:rsidRDefault="00520B94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Podsumowanie</w:t>
      </w:r>
    </w:p>
    <w:p w14:paraId="20BFDC3E" w14:textId="77777777" w:rsidR="008600A5" w:rsidRDefault="008600A5">
      <w:pPr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7B710B1D" w14:textId="77777777" w:rsidR="008600A5" w:rsidRDefault="00520B94">
      <w:pPr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Niniejszy plan działania określ</w:t>
      </w:r>
      <w:r>
        <w:rPr>
          <w:rFonts w:ascii="Times New Roman" w:hAnsi="Times New Roman"/>
          <w:noProof/>
          <w:sz w:val="24"/>
        </w:rPr>
        <w:t xml:space="preserve">a konkretne i ambitne działania w ramach mandatu UE wspierające przejście na gospodarkę o obiegu zamkniętym. Konieczne będzie również stałe, </w:t>
      </w:r>
      <w:r>
        <w:rPr>
          <w:rFonts w:ascii="Times New Roman" w:hAnsi="Times New Roman"/>
          <w:noProof/>
          <w:sz w:val="24"/>
        </w:rPr>
        <w:lastRenderedPageBreak/>
        <w:t xml:space="preserve">pogłębione zaangażowanie na wszystkich szczeblach administracji w państwach członkowskich, regionach i miastach, a </w:t>
      </w:r>
      <w:r>
        <w:rPr>
          <w:rFonts w:ascii="Times New Roman" w:hAnsi="Times New Roman"/>
          <w:noProof/>
          <w:sz w:val="24"/>
        </w:rPr>
        <w:t>także zaangażowanie wszystkich zainteresowanych stron. Komisja zwraca się do Parlamentu Europejskiego i Rady o zatwierdzenie niniejszego planu działania i do aktywnego włączenia się w jego wdrażanie w ścisłej współpracy ze wszystkimi właściwymi zainteresow</w:t>
      </w:r>
      <w:r>
        <w:rPr>
          <w:rFonts w:ascii="Times New Roman" w:hAnsi="Times New Roman"/>
          <w:noProof/>
          <w:sz w:val="24"/>
        </w:rPr>
        <w:t>anymi stronami.</w:t>
      </w:r>
    </w:p>
    <w:sectPr w:rsidR="008600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6CF3" w14:textId="77777777" w:rsidR="00520B94" w:rsidRDefault="00520B94">
      <w:pPr>
        <w:spacing w:after="0" w:line="240" w:lineRule="auto"/>
      </w:pPr>
      <w:r>
        <w:separator/>
      </w:r>
    </w:p>
  </w:endnote>
  <w:endnote w:type="continuationSeparator" w:id="0">
    <w:p w14:paraId="5B2D2D15" w14:textId="77777777" w:rsidR="00520B94" w:rsidRDefault="00520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8605A" w14:textId="77777777" w:rsidR="008600A5" w:rsidRDefault="008600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C6A157" w14:textId="77777777" w:rsidR="008600A5" w:rsidRDefault="00520B94"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PL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proofErr w:type="spellStart"/>
    <w:r>
      <w:rPr>
        <w:rFonts w:ascii="Arial" w:hAnsi="Arial" w:cs="Arial"/>
        <w:b/>
        <w:sz w:val="48"/>
      </w:rPr>
      <w:t>PL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3E10B" w14:textId="77777777" w:rsidR="008600A5" w:rsidRDefault="008600A5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591F2" w14:textId="77777777" w:rsidR="008600A5" w:rsidRDefault="008600A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vanish/>
        <w:highlight w:val="yellow"/>
      </w:rPr>
      <w:id w:val="4526769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D1D9A" w14:textId="77777777" w:rsidR="008600A5" w:rsidRDefault="00520B94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F583AC" w14:textId="77777777" w:rsidR="008600A5" w:rsidRDefault="008600A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5DB43" w14:textId="77777777" w:rsidR="008600A5" w:rsidRDefault="008600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EAF96" w14:textId="77777777" w:rsidR="00520B94" w:rsidRDefault="00520B94">
      <w:pPr>
        <w:spacing w:after="0" w:line="240" w:lineRule="auto"/>
      </w:pPr>
      <w:r>
        <w:separator/>
      </w:r>
    </w:p>
  </w:footnote>
  <w:footnote w:type="continuationSeparator" w:id="0">
    <w:p w14:paraId="2BB3141F" w14:textId="77777777" w:rsidR="00520B94" w:rsidRDefault="00520B94">
      <w:pPr>
        <w:spacing w:after="0" w:line="240" w:lineRule="auto"/>
      </w:pPr>
      <w:r>
        <w:continuationSeparator/>
      </w:r>
    </w:p>
  </w:footnote>
  <w:footnote w:id="1">
    <w:p w14:paraId="62181CB6" w14:textId="77777777" w:rsidR="008600A5" w:rsidRDefault="00520B9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i/>
        </w:rPr>
        <w:t>Growth within: a circular economy vision for a competitive Europe [Wzrost od środka: wizja gospodarki o obiegu zamkniętym dla konkurencyjnej Europy]</w:t>
      </w:r>
      <w:r>
        <w:rPr>
          <w:rFonts w:ascii="Times New Roman" w:hAnsi="Times New Roman"/>
        </w:rPr>
        <w:t xml:space="preserve">, raport przygotowany przez Ellen </w:t>
      </w:r>
      <w:r>
        <w:rPr>
          <w:rFonts w:ascii="Times New Roman" w:hAnsi="Times New Roman"/>
        </w:rPr>
        <w:t>MacArthur Foundation, McKinsey Centre for Business and Environment oraz Stiftungsfonds für Umweltökonomie und Nachhaltigkeit (SUN), czerwiec 2015.</w:t>
      </w:r>
    </w:p>
  </w:footnote>
  <w:footnote w:id="2">
    <w:p w14:paraId="52124BA8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Dyrektywa 2009/125/WE. Ta dyrektywa obejmuje wszystkie produkty związane z energią.</w:t>
      </w:r>
    </w:p>
  </w:footnote>
  <w:footnote w:id="3">
    <w:p w14:paraId="22ED4832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Szacuje się, że dyrek</w:t>
      </w:r>
      <w:r>
        <w:rPr>
          <w:rFonts w:ascii="Times New Roman" w:hAnsi="Times New Roman"/>
        </w:rPr>
        <w:t>tywa w sprawie ekoprojektu w połączeniu z przepisami w zakresie etykietowania energetycznego pozwoli na zaoszczędzenie 175 Mtoe energii pierwotnej do 2020 r.</w:t>
      </w:r>
    </w:p>
  </w:footnote>
  <w:footnote w:id="4">
    <w:p w14:paraId="03F769AE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Chodzi tu na przykład o ekoprojekt, etykietowanie energetyczne, oznakowanie ekologiczne, zielone</w:t>
      </w:r>
      <w:r>
        <w:rPr>
          <w:rFonts w:ascii="Times New Roman" w:hAnsi="Times New Roman"/>
        </w:rPr>
        <w:t xml:space="preserve"> zamówienia publiczne oraz inne odpowiednie przepisy dotyczące produktów.</w:t>
      </w:r>
    </w:p>
  </w:footnote>
  <w:footnote w:id="5">
    <w:p w14:paraId="459DDE9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 szczególności strategii „Handel i inwestycje dla wszystkich” przyjętej w październiku 2015 r.</w:t>
      </w:r>
    </w:p>
  </w:footnote>
  <w:footnote w:id="6">
    <w:p w14:paraId="5470873E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>
        <w:r>
          <w:rPr>
            <w:rStyle w:val="Hipercze"/>
            <w:rFonts w:ascii="Times New Roman" w:hAnsi="Times New Roman"/>
          </w:rPr>
          <w:t>http://eur-lex.europa.eu/legal-content/EN/TXT/?uri=CELEX:52014DC0440</w:t>
        </w:r>
      </w:hyperlink>
      <w:r>
        <w:rPr>
          <w:rFonts w:ascii="Times New Roman" w:hAnsi="Times New Roman"/>
        </w:rPr>
        <w:t xml:space="preserve"> </w:t>
      </w:r>
    </w:p>
  </w:footnote>
  <w:footnote w:id="7">
    <w:p w14:paraId="7C012731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 celu ułatwienia MŚP dostępu do centrów usług technologicznych w dziedzinie kluczowych technologii prorozwojowych.</w:t>
      </w:r>
    </w:p>
  </w:footnote>
  <w:footnote w:id="8">
    <w:p w14:paraId="5349828D" w14:textId="77777777" w:rsidR="008600A5" w:rsidRDefault="00520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W następstwie trwającej kontroli sprawności</w:t>
      </w:r>
    </w:p>
  </w:footnote>
  <w:footnote w:id="9">
    <w:p w14:paraId="46224FE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>
        <w:r>
          <w:rPr>
            <w:rStyle w:val="Hipercze"/>
            <w:rFonts w:ascii="Times New Roman" w:hAnsi="Times New Roman"/>
          </w:rPr>
          <w:t>http://ec.europa.eu/environment/etv/etv_preprog.htm</w:t>
        </w:r>
      </w:hyperlink>
      <w:r>
        <w:rPr>
          <w:rFonts w:ascii="Times New Roman" w:hAnsi="Times New Roman"/>
        </w:rPr>
        <w:t xml:space="preserve"> </w:t>
      </w:r>
    </w:p>
  </w:footnote>
  <w:footnote w:id="10">
    <w:p w14:paraId="2D5F8A30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 szczególności CO</w:t>
      </w:r>
      <w:r>
        <w:rPr>
          <w:rFonts w:ascii="Times New Roman" w:hAnsi="Times New Roman"/>
          <w:vertAlign w:val="subscript"/>
        </w:rPr>
        <w:t>2</w:t>
      </w:r>
      <w:r>
        <w:rPr>
          <w:rFonts w:ascii="Times New Roman" w:hAnsi="Times New Roman"/>
        </w:rPr>
        <w:t>.</w:t>
      </w:r>
    </w:p>
  </w:footnote>
  <w:footnote w:id="11">
    <w:p w14:paraId="45451B4B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Szereg etapów wytwarzania produktu wpływających na wycofany z eksploatacji produkt lub jego część w celu przywrócenia im </w:t>
      </w:r>
      <w:r>
        <w:rPr>
          <w:rFonts w:ascii="Times New Roman" w:hAnsi="Times New Roman"/>
        </w:rPr>
        <w:t>efektywności, jaką miały, gdy były nowe lub lepszej, z odpowiednią gwarancją.</w:t>
      </w:r>
    </w:p>
  </w:footnote>
  <w:footnote w:id="12">
    <w:p w14:paraId="0734ED82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Zaproszenie dla fabryk przyszłości, 2014 – wezwanie do symbiozy przemysłowej, 2014</w:t>
      </w:r>
    </w:p>
  </w:footnote>
  <w:footnote w:id="13">
    <w:p w14:paraId="14883EDD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hyperlink r:id="rId3">
        <w:r>
          <w:rPr>
            <w:rStyle w:val="Hipercze"/>
            <w:rFonts w:ascii="Times New Roman" w:hAnsi="Times New Roman"/>
          </w:rPr>
          <w:t>http://ec.europa.eu/regional_policy/index.cfm/en/information/legislation/guidance/</w:t>
        </w:r>
      </w:hyperlink>
      <w:r>
        <w:rPr>
          <w:rFonts w:ascii="Times New Roman" w:hAnsi="Times New Roman"/>
        </w:rPr>
        <w:t xml:space="preserve"> </w:t>
      </w:r>
    </w:p>
  </w:footnote>
  <w:footnote w:id="14">
    <w:p w14:paraId="49E0655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Będzie to miało miejsce w ramach zaplanowanych regularnych przeglądów dokumentów BREF.</w:t>
      </w:r>
    </w:p>
  </w:footnote>
  <w:footnote w:id="15">
    <w:p w14:paraId="409BEE1B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Zob. badanie rynków konsumenckich w odniesieniu do twierdzeń dotyczący</w:t>
      </w:r>
      <w:r>
        <w:rPr>
          <w:rFonts w:ascii="Times New Roman" w:hAnsi="Times New Roman"/>
        </w:rPr>
        <w:t>ch ekologiczności dla produktów niespożywczych: http://ec.europa.eu/consumers/consumer_evidence/market_studies/environmental_claims/index_en.htm</w:t>
      </w:r>
    </w:p>
  </w:footnote>
  <w:footnote w:id="16">
    <w:p w14:paraId="390A4A31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w kontekście dyrektywy 2005/29/WE w sprawie nieuczciwych praktyk handlowych stosowanych przez przedsiębiorstw</w:t>
      </w:r>
      <w:r>
        <w:rPr>
          <w:rFonts w:ascii="Times New Roman" w:hAnsi="Times New Roman"/>
        </w:rPr>
        <w:t>a wobec konsumentów.</w:t>
      </w:r>
    </w:p>
  </w:footnote>
  <w:footnote w:id="17">
    <w:p w14:paraId="5ACCFF1C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>COM(2013)196 final. Obecnie testowane w ramach projektów pilotażowych. W zależności od wyników projektów pilotażowych, Komisja rozważy możliwość dalszego stosowania metody odnoszącej się do śladu środowiskowego produktu.</w:t>
      </w:r>
    </w:p>
  </w:footnote>
  <w:footnote w:id="18">
    <w:p w14:paraId="0563AFB0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 xml:space="preserve">W </w:t>
      </w:r>
      <w:r>
        <w:rPr>
          <w:rFonts w:ascii="Times New Roman" w:hAnsi="Times New Roman"/>
        </w:rPr>
        <w:t>następstwie trwającej kontroli sprawności.</w:t>
      </w:r>
    </w:p>
  </w:footnote>
  <w:footnote w:id="19">
    <w:p w14:paraId="5C57B699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>Dok. COM(2015)341.</w:t>
      </w:r>
    </w:p>
  </w:footnote>
  <w:footnote w:id="20">
    <w:p w14:paraId="2C04E63F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>W oparciu o dane, które mogą zostać zmierzone przez organy nadzoru rynku oraz nie wywierają znacznego negatywnego wpływu na zrozumiałość i skuteczność etykiety z perspektywy klientów.</w:t>
      </w:r>
    </w:p>
  </w:footnote>
  <w:footnote w:id="21">
    <w:p w14:paraId="5301D07C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 xml:space="preserve"> Na </w:t>
      </w:r>
      <w:r>
        <w:rPr>
          <w:rFonts w:ascii="Times New Roman" w:hAnsi="Times New Roman"/>
        </w:rPr>
        <w:t>podstawie dyrektywy 99/44/WE w ciągu pierwszych sześciu miesięcy po dostarczeniu produktu klientowi, sprzedawca musi udowodnić, że w chwili dostawy nie występował żaden brak zgodności. Po tym okresie ciężar dowodu spoczywa na nabywcy.</w:t>
      </w:r>
    </w:p>
  </w:footnote>
  <w:footnote w:id="22">
    <w:p w14:paraId="07A7F779" w14:textId="77777777" w:rsidR="008600A5" w:rsidRDefault="00520B94">
      <w:pPr>
        <w:pStyle w:val="Tekstprzypisudolnego"/>
        <w:rPr>
          <w:rFonts w:ascii="Times New Roman" w:hAnsi="Times New Roman" w:cs="Times New Roman"/>
          <w:lang w:eastAsia="en-GB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 ramach kontroli s</w:t>
      </w:r>
      <w:r>
        <w:rPr>
          <w:rFonts w:ascii="Times New Roman" w:hAnsi="Times New Roman"/>
        </w:rPr>
        <w:t>prawności prawodawstwa dotyczącego konsumentów zapowiedzianego przez Komisję w programie prac na 2015 r. (COM(2014) 910 final, załącznik III).</w:t>
      </w:r>
    </w:p>
  </w:footnote>
  <w:footnote w:id="23">
    <w:p w14:paraId="51CD88F0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Fonts w:ascii="Times New Roman" w:hAnsi="Times New Roman"/>
        </w:rPr>
        <w:t xml:space="preserve"> Przykładem mogą być zachęty dla gmin, systemy opłat proporcjonalnych do ilości wyrzucanych odpadów, w ramach kt</w:t>
      </w:r>
      <w:r>
        <w:rPr>
          <w:rFonts w:ascii="Times New Roman" w:hAnsi="Times New Roman"/>
        </w:rPr>
        <w:t>órych gospodarstwa domowe (na przykład) płacą stosownie do ilości wyrzucanych przez nie odpadów niepodlegających recyklingowi.</w:t>
      </w:r>
    </w:p>
  </w:footnote>
  <w:footnote w:id="24">
    <w:p w14:paraId="550B50ED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>COM(2015) 550 final.</w:t>
      </w:r>
    </w:p>
  </w:footnote>
  <w:footnote w:id="25">
    <w:p w14:paraId="2E2C89F6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 xml:space="preserve">Zgodnie z globalnym celem zrównoważonego rozwoju polegającym na propagowaniu </w:t>
      </w:r>
      <w:r>
        <w:rPr>
          <w:rFonts w:ascii="Times New Roman" w:hAnsi="Times New Roman"/>
        </w:rPr>
        <w:t>zrównoważonych praktyk w dziedzinie zamówień publicznych</w:t>
      </w:r>
    </w:p>
  </w:footnote>
  <w:footnote w:id="26">
    <w:p w14:paraId="7DB5717D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Między innymi poprzez ukierunkowane programy szkoleń.</w:t>
      </w:r>
    </w:p>
  </w:footnote>
  <w:footnote w:id="27">
    <w:p w14:paraId="34CFC16C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We wniosku dotyczącym metali zostaną wprowadzone odrębne cele cząstkowe dla aluminium i metali żelaznych.</w:t>
      </w:r>
    </w:p>
  </w:footnote>
  <w:footnote w:id="28">
    <w:p w14:paraId="213C0D3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http://ec.europa.eu/environment/w</w:t>
      </w:r>
      <w:r>
        <w:rPr>
          <w:rFonts w:ascii="Times New Roman" w:hAnsi="Times New Roman"/>
        </w:rPr>
        <w:t>aste/packaging/index_en.htm</w:t>
      </w:r>
    </w:p>
  </w:footnote>
  <w:footnote w:id="29">
    <w:p w14:paraId="17D32383" w14:textId="77777777" w:rsidR="008600A5" w:rsidRDefault="00520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W tym metodami innowacyjnymi.</w:t>
      </w:r>
    </w:p>
  </w:footnote>
  <w:footnote w:id="30">
    <w:p w14:paraId="1A062518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4">
        <w:r>
          <w:rPr>
            <w:rStyle w:val="Hipercze"/>
            <w:rFonts w:ascii="Times New Roman" w:hAnsi="Times New Roman"/>
          </w:rPr>
          <w:t>Rozporządzenie (UE) nr 660/2014 z dnia 15 maja 2014 r.</w:t>
        </w:r>
      </w:hyperlink>
    </w:p>
  </w:footnote>
  <w:footnote w:id="31">
    <w:p w14:paraId="78C9CEA6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 pewnymi wyjątkami, takimi jak stal lub papier (</w:t>
      </w:r>
      <w:r>
        <w:rPr>
          <w:rFonts w:ascii="Times New Roman" w:hAnsi="Times New Roman"/>
        </w:rPr>
        <w:t>np. 5 % tworzyw sztucznych).</w:t>
      </w:r>
    </w:p>
  </w:footnote>
  <w:footnote w:id="32">
    <w:p w14:paraId="7109BAB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Ogłoszono w </w:t>
      </w:r>
      <w:r>
        <w:rPr>
          <w:rStyle w:val="Pogrubienie"/>
          <w:rFonts w:ascii="Times New Roman" w:hAnsi="Times New Roman"/>
          <w:b w:val="0"/>
          <w:color w:val="0000FF"/>
          <w:u w:val="single"/>
        </w:rPr>
        <w:t>7. unijnym programie działań w zakresie środowiska</w:t>
      </w:r>
    </w:p>
  </w:footnote>
  <w:footnote w:id="33">
    <w:p w14:paraId="1D4C63BC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Strategia ta będzie obejmować działania następcze związane</w:t>
      </w:r>
      <w:r>
        <w:t xml:space="preserve"> </w:t>
      </w:r>
      <w:hyperlink r:id="rId5">
        <w:r>
          <w:rPr>
            <w:rStyle w:val="Hipercze"/>
            <w:rFonts w:ascii="Times New Roman" w:hAnsi="Times New Roman"/>
          </w:rPr>
          <w:t>z zieloną ksi</w:t>
        </w:r>
        <w:r>
          <w:rPr>
            <w:rStyle w:val="Hipercze"/>
            <w:rFonts w:ascii="Times New Roman" w:hAnsi="Times New Roman"/>
          </w:rPr>
          <w:t>ęgą w sprawie odpadów z tworzyw sztucznych</w:t>
        </w:r>
      </w:hyperlink>
      <w:r>
        <w:rPr>
          <w:rFonts w:ascii="Times New Roman" w:hAnsi="Times New Roman"/>
        </w:rPr>
        <w:t>.</w:t>
      </w:r>
    </w:p>
  </w:footnote>
  <w:footnote w:id="34">
    <w:p w14:paraId="169ADCC5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Komisja Europejska w komunikacie „Ku gospodarce o obiegu zamkniętym: program »zero odpadów« dla Europy” zaproponowała „ambitny cel ograniczenia odpadów wyrzucanych do morza o 30 % do 2020 r. w odniesieniu do dziesięciu najpowszechniejszych rodzajów odpadó</w:t>
      </w:r>
      <w:r>
        <w:rPr>
          <w:rFonts w:ascii="Times New Roman" w:hAnsi="Times New Roman"/>
        </w:rPr>
        <w:t>w znajdowanych na plażach oraz narzędzi połowowych znajdowanych w morzu, z dostosowaniem wykazu do każdego z czterech regionów morskich w UE”. Prace zmierzające do osiągnięcia tego celu są już realizowane w Europie.</w:t>
      </w:r>
    </w:p>
  </w:footnote>
  <w:footnote w:id="35">
    <w:p w14:paraId="4E143141" w14:textId="77777777" w:rsidR="008600A5" w:rsidRDefault="00520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>2000/59/WE</w:t>
      </w:r>
    </w:p>
  </w:footnote>
  <w:footnote w:id="36">
    <w:p w14:paraId="77B27396" w14:textId="77777777" w:rsidR="008600A5" w:rsidRDefault="00520B94">
      <w:pPr>
        <w:pStyle w:val="Tekstprzypisudolnego"/>
        <w:rPr>
          <w:rStyle w:val="Odwoanieprzypisudolnego"/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Style w:val="Odwoanieprzypisudolnego"/>
          <w:rFonts w:ascii="Times New Roman" w:hAnsi="Times New Roman"/>
        </w:rPr>
        <w:t xml:space="preserve"> </w:t>
      </w:r>
      <w:hyperlink r:id="rId6">
        <w:r>
          <w:rPr>
            <w:rFonts w:ascii="Times New Roman" w:hAnsi="Times New Roman"/>
          </w:rPr>
          <w:t>http://ec.europa.eu/food/safety/food_waste/stop/index_en.htm</w:t>
        </w:r>
      </w:hyperlink>
    </w:p>
  </w:footnote>
  <w:footnote w:id="37">
    <w:p w14:paraId="14092DB1" w14:textId="77777777" w:rsidR="008600A5" w:rsidRDefault="00520B94">
      <w:pPr>
        <w:pStyle w:val="Tekstprzypisudolnego"/>
        <w:rPr>
          <w:rStyle w:val="Odwoanieprzypisudolnego"/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Style w:val="Odwoanieprzypisudolnego"/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Art.15 rozporządzenia (UE) nr 1380/2013 w sprawie wspólnej polityki rybołówstwa.</w:t>
      </w:r>
    </w:p>
  </w:footnote>
  <w:footnote w:id="38">
    <w:p w14:paraId="3F2A9DDE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Komisja Europejska sporządziła wykaz surowców krytyczny</w:t>
      </w:r>
      <w:r>
        <w:rPr>
          <w:rFonts w:ascii="Times New Roman" w:hAnsi="Times New Roman"/>
        </w:rPr>
        <w:t xml:space="preserve">ch na stronie: </w:t>
      </w:r>
      <w:hyperlink r:id="rId7">
        <w:r>
          <w:rPr>
            <w:rStyle w:val="Hipercze"/>
            <w:rFonts w:ascii="Times New Roman" w:hAnsi="Times New Roman"/>
          </w:rPr>
          <w:t>http://ec.europa.eu/enterprise/policies/raw-materials/critical/index_en.htm</w:t>
        </w:r>
      </w:hyperlink>
      <w:r>
        <w:rPr>
          <w:rStyle w:val="Hipercze"/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Obejmują one na przykład metale ziem rzadkich i inne metale szlachetn</w:t>
      </w:r>
      <w:r>
        <w:rPr>
          <w:rFonts w:ascii="Times New Roman" w:hAnsi="Times New Roman"/>
        </w:rPr>
        <w:t>e, ale także fosfor.</w:t>
      </w:r>
    </w:p>
  </w:footnote>
  <w:footnote w:id="39">
    <w:p w14:paraId="60F71AD3" w14:textId="77777777" w:rsidR="008600A5" w:rsidRDefault="00520B94">
      <w:pPr>
        <w:pStyle w:val="Tekstprzypisudolnego"/>
        <w:rPr>
          <w:rFonts w:ascii="Times New Roman" w:hAnsi="Times New Roman" w:cs="Times New Roman"/>
          <w:lang w:val="e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Takie jak metale ziem rzadkich w elektronicznych wyświetlaczach lub metale szlachetne w płytkach obwodów drukowanych.</w:t>
      </w:r>
    </w:p>
  </w:footnote>
  <w:footnote w:id="40">
    <w:p w14:paraId="02CCEDF1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8">
        <w:r>
          <w:rPr>
            <w:rStyle w:val="Hipercze"/>
            <w:rFonts w:ascii="Times New Roman" w:hAnsi="Times New Roman"/>
          </w:rPr>
          <w:t>http://ec.europa.eu/environment/waste/</w:t>
        </w:r>
        <w:r>
          <w:rPr>
            <w:rStyle w:val="Hipercze"/>
            <w:rFonts w:ascii="Times New Roman" w:hAnsi="Times New Roman"/>
          </w:rPr>
          <w:t>weee/index_en.htm</w:t>
        </w:r>
      </w:hyperlink>
      <w:r>
        <w:rPr>
          <w:rFonts w:ascii="Times New Roman" w:hAnsi="Times New Roman"/>
        </w:rPr>
        <w:t xml:space="preserve"> </w:t>
      </w:r>
    </w:p>
  </w:footnote>
  <w:footnote w:id="41">
    <w:p w14:paraId="0AD0EF80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9">
        <w:r>
          <w:rPr>
            <w:rStyle w:val="Hipercze"/>
            <w:rFonts w:ascii="Times New Roman" w:hAnsi="Times New Roman"/>
          </w:rPr>
          <w:t>http://ec.europa.eu/environment/waste/construction_demolition.htm</w:t>
        </w:r>
      </w:hyperlink>
      <w:r>
        <w:rPr>
          <w:rFonts w:ascii="Times New Roman" w:hAnsi="Times New Roman"/>
        </w:rPr>
        <w:t xml:space="preserve"> </w:t>
      </w:r>
    </w:p>
  </w:footnote>
  <w:footnote w:id="42">
    <w:p w14:paraId="0C80B6C8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Zgodnie z komunikatem</w:t>
      </w:r>
      <w:r>
        <w:t xml:space="preserve"> </w:t>
      </w:r>
      <w:hyperlink r:id="rId10">
        <w:r>
          <w:rPr>
            <w:rStyle w:val="Hipercze"/>
            <w:rFonts w:ascii="Times New Roman" w:hAnsi="Times New Roman"/>
          </w:rPr>
          <w:t>„Możliwości zasobooszczędności w sektorze budowlanym”</w:t>
        </w:r>
      </w:hyperlink>
    </w:p>
  </w:footnote>
  <w:footnote w:id="43">
    <w:p w14:paraId="40F0C062" w14:textId="77777777" w:rsidR="008600A5" w:rsidRDefault="00520B94">
      <w:pPr>
        <w:pStyle w:val="Tekstprzypisudolnego"/>
        <w:rPr>
          <w:lang w:val="pt-PT"/>
        </w:rPr>
      </w:pPr>
      <w:r>
        <w:rPr>
          <w:rStyle w:val="Odwoanieprzypisudolnego"/>
        </w:rPr>
        <w:footnoteRef/>
      </w:r>
      <w:r>
        <w:t xml:space="preserve"> Dok. COM(2012)60.</w:t>
      </w:r>
    </w:p>
  </w:footnote>
  <w:footnote w:id="44">
    <w:p w14:paraId="6F1140D9" w14:textId="77777777" w:rsidR="008600A5" w:rsidRDefault="00520B94">
      <w:pPr>
        <w:pStyle w:val="Tekstprzypisudolnego"/>
        <w:rPr>
          <w:rFonts w:ascii="Times New Roman" w:hAnsi="Times New Roman" w:cs="Times New Roman"/>
          <w:lang w:val="pt-PT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">
        <w:r>
          <w:rPr>
            <w:rStyle w:val="Hipercze"/>
            <w:rFonts w:ascii="Times New Roman" w:hAnsi="Times New Roman"/>
          </w:rPr>
          <w:t>http://ec.europa.eu/research/bioeconomy/index.cfm</w:t>
        </w:r>
      </w:hyperlink>
      <w:r>
        <w:rPr>
          <w:rFonts w:ascii="Times New Roman" w:hAnsi="Times New Roman"/>
        </w:rPr>
        <w:t xml:space="preserve"> </w:t>
      </w:r>
    </w:p>
  </w:footnote>
  <w:footnote w:id="45">
    <w:p w14:paraId="03F1C88F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Program prac „Horyzont 2020” na lata 2014 – 2015; Wezwanie do realizacji obszaru docelowego „Odpady: zasoby umożliwiające recykling, ponowne użycie i odzyskiwanie surowców”; </w:t>
      </w:r>
      <w:hyperlink r:id="rId12">
        <w:r>
          <w:rPr>
            <w:rStyle w:val="Hipercze"/>
            <w:rFonts w:ascii="Times New Roman" w:hAnsi="Times New Roman"/>
          </w:rPr>
          <w:t>http://ec.europa.eu/research/participants/data/ref/h2020/wp/2014_2015/main/h2020-wp1415-climate_en.pdf</w:t>
        </w:r>
      </w:hyperlink>
      <w:r>
        <w:rPr>
          <w:rFonts w:ascii="Times New Roman" w:hAnsi="Times New Roman"/>
        </w:rPr>
        <w:t xml:space="preserve">; 7. PR Środowisko, 2013 r., wezwanie dotyczące zasobooszczędności: </w:t>
      </w:r>
      <w:hyperlink r:id="rId13">
        <w:r>
          <w:rPr>
            <w:rStyle w:val="Hipercze"/>
            <w:rFonts w:ascii="Times New Roman" w:hAnsi="Times New Roman"/>
          </w:rPr>
          <w:t>http://ec.europa.eu/research/participants/data/ref/fp7/132129/f-wp-201301_en.pdf</w:t>
        </w:r>
      </w:hyperlink>
      <w:r>
        <w:rPr>
          <w:rFonts w:ascii="Times New Roman" w:hAnsi="Times New Roman"/>
        </w:rPr>
        <w:t xml:space="preserve"> </w:t>
      </w:r>
    </w:p>
  </w:footnote>
  <w:footnote w:id="46">
    <w:p w14:paraId="6DA7D603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4">
        <w:r>
          <w:rPr>
            <w:rStyle w:val="Hipercze"/>
            <w:rFonts w:ascii="Times New Roman" w:hAnsi="Times New Roman"/>
          </w:rPr>
          <w:t>http://ec.europa.eu/environment/ecoap/index_en.</w:t>
        </w:r>
        <w:r>
          <w:rPr>
            <w:rStyle w:val="Hipercze"/>
            <w:rFonts w:ascii="Times New Roman" w:hAnsi="Times New Roman"/>
          </w:rPr>
          <w:t>htm</w:t>
        </w:r>
      </w:hyperlink>
      <w:r>
        <w:rPr>
          <w:rFonts w:ascii="Times New Roman" w:hAnsi="Times New Roman"/>
        </w:rPr>
        <w:t xml:space="preserve"> </w:t>
      </w:r>
    </w:p>
  </w:footnote>
  <w:footnote w:id="47">
    <w:p w14:paraId="5ACA168B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5">
        <w:r>
          <w:rPr>
            <w:rStyle w:val="Hipercze"/>
            <w:rFonts w:ascii="Times New Roman" w:hAnsi="Times New Roman"/>
          </w:rPr>
          <w:t>http://s3platform.jrc.ec.europa.eu/home</w:t>
        </w:r>
      </w:hyperlink>
      <w:r>
        <w:rPr>
          <w:rFonts w:ascii="Times New Roman" w:hAnsi="Times New Roman"/>
        </w:rPr>
        <w:t xml:space="preserve"> </w:t>
      </w:r>
    </w:p>
  </w:footnote>
  <w:footnote w:id="48">
    <w:p w14:paraId="15CFAA3D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6">
        <w:r>
          <w:rPr>
            <w:rStyle w:val="Hipercze"/>
            <w:rFonts w:ascii="Times New Roman" w:hAnsi="Times New Roman"/>
          </w:rPr>
          <w:t>http://ec.europa.eu/regional_policy/en/policy/what/investm</w:t>
        </w:r>
        <w:r>
          <w:rPr>
            <w:rStyle w:val="Hipercze"/>
            <w:rFonts w:ascii="Times New Roman" w:hAnsi="Times New Roman"/>
          </w:rPr>
          <w:t>ent-policy/</w:t>
        </w:r>
      </w:hyperlink>
      <w:r>
        <w:rPr>
          <w:rFonts w:ascii="Times New Roman" w:hAnsi="Times New Roman"/>
        </w:rPr>
        <w:t xml:space="preserve"> </w:t>
      </w:r>
    </w:p>
  </w:footnote>
  <w:footnote w:id="49">
    <w:p w14:paraId="5AC2B489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7">
        <w:r>
          <w:rPr>
            <w:rStyle w:val="Hipercze"/>
            <w:rFonts w:ascii="Times New Roman" w:hAnsi="Times New Roman"/>
          </w:rPr>
          <w:t>http://eur-lex.europa.eu/LexUriServ/LexUriServ.do?uri=COM:2012:0209:FIN:PL:PDF</w:t>
        </w:r>
      </w:hyperlink>
      <w:r>
        <w:rPr>
          <w:rFonts w:ascii="Times New Roman" w:hAnsi="Times New Roman"/>
        </w:rPr>
        <w:t xml:space="preserve"> </w:t>
      </w:r>
    </w:p>
  </w:footnote>
  <w:footnote w:id="50">
    <w:p w14:paraId="7A94C575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18">
        <w:r>
          <w:rPr>
            <w:rStyle w:val="Hipercze"/>
            <w:rFonts w:ascii="Times New Roman" w:hAnsi="Times New Roman"/>
          </w:rPr>
          <w:t>http://www.eib.org/products/blending/innovfin/?lang=en</w:t>
        </w:r>
      </w:hyperlink>
      <w:r>
        <w:rPr>
          <w:rFonts w:ascii="Times New Roman" w:hAnsi="Times New Roman"/>
        </w:rPr>
        <w:t xml:space="preserve"> – Komisja rozszerzy zakres instrumentu InnovFin, aby zapewnić kwalifikowalność większej liczby innowacyjnych projektów dotyczących gospodarki o obiegu zamkniętym</w:t>
      </w:r>
    </w:p>
  </w:footnote>
  <w:footnote w:id="51">
    <w:p w14:paraId="3868039A" w14:textId="77777777" w:rsidR="008600A5" w:rsidRDefault="00520B9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hyperlink r:id="rId19">
        <w:r>
          <w:rPr>
            <w:rStyle w:val="Hipercze"/>
            <w:rFonts w:ascii="Times New Roman" w:hAnsi="Times New Roman"/>
          </w:rPr>
          <w:t>http://eur-lex.europa.eu/legal-content/EN/TXT/?uri=CELEX:52014DC0440</w:t>
        </w:r>
      </w:hyperlink>
      <w:r>
        <w:t xml:space="preserve"> </w:t>
      </w:r>
    </w:p>
  </w:footnote>
  <w:footnote w:id="52">
    <w:p w14:paraId="095F0C95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</w:rPr>
        <w:t xml:space="preserve">Program Unii Europejskiej na rzecz zatrudnienia i innowacji społecznych (EaSI): </w:t>
      </w:r>
      <w:hyperlink r:id="rId20">
        <w:r>
          <w:rPr>
            <w:rStyle w:val="Hipercze"/>
            <w:rFonts w:ascii="Times New Roman" w:hAnsi="Times New Roman"/>
          </w:rPr>
          <w:t>http://ec.europa.eu/social/main.jsp?catId=1081</w:t>
        </w:r>
      </w:hyperlink>
      <w:r>
        <w:rPr>
          <w:rFonts w:ascii="Times New Roman" w:hAnsi="Times New Roman"/>
        </w:rPr>
        <w:t xml:space="preserve"> </w:t>
      </w:r>
    </w:p>
  </w:footnote>
  <w:footnote w:id="53">
    <w:p w14:paraId="1E72573E" w14:textId="77777777" w:rsidR="008600A5" w:rsidRDefault="00520B94">
      <w:pPr>
        <w:pStyle w:val="Tekstprzypisudolnego"/>
        <w:rPr>
          <w:rFonts w:ascii="Times New Roman" w:hAnsi="Times New Roman" w:cs="Times New Roman"/>
          <w:lang w:val="pt-PT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1">
        <w:r>
          <w:rPr>
            <w:rStyle w:val="Hipercze"/>
            <w:rFonts w:ascii="Times New Roman" w:hAnsi="Times New Roman"/>
          </w:rPr>
          <w:t>COM(2014)446</w:t>
        </w:r>
      </w:hyperlink>
    </w:p>
  </w:footnote>
  <w:footnote w:id="54">
    <w:p w14:paraId="2389B852" w14:textId="77777777" w:rsidR="008600A5" w:rsidRDefault="00520B94">
      <w:pPr>
        <w:pStyle w:val="Tekstprzypisudolnego"/>
        <w:rPr>
          <w:rFonts w:ascii="Times New Roman" w:hAnsi="Times New Roman" w:cs="Times New Roman"/>
          <w:lang w:val="pt-PT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hyperlink r:id="rId22">
        <w:r>
          <w:rPr>
            <w:rStyle w:val="Hipercze"/>
            <w:rFonts w:ascii="Times New Roman" w:hAnsi="Times New Roman"/>
          </w:rPr>
          <w:t>http://ec.europa.eu/eurostat/web/environmental-data-centre-on-natural-resources/resource-efficien</w:t>
        </w:r>
        <w:r>
          <w:rPr>
            <w:rStyle w:val="Hipercze"/>
            <w:rFonts w:ascii="Times New Roman" w:hAnsi="Times New Roman"/>
          </w:rPr>
          <w:t>cy-indicators/resource-efficiency-scoreboard</w:t>
        </w:r>
      </w:hyperlink>
      <w:r>
        <w:rPr>
          <w:rFonts w:ascii="Times New Roman" w:hAnsi="Times New Roman"/>
        </w:rPr>
        <w:t xml:space="preserve"> </w:t>
      </w:r>
    </w:p>
  </w:footnote>
  <w:footnote w:id="55">
    <w:p w14:paraId="7570F09C" w14:textId="77777777" w:rsidR="008600A5" w:rsidRDefault="00520B94">
      <w:pPr>
        <w:pStyle w:val="Tekstprzypisudolnego"/>
        <w:rPr>
          <w:rStyle w:val="Hipercze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Opracowane w ramach europejskiego partnerstwa innowacji w dziedzinie surowców – zostanie opublikowane na stronie</w:t>
      </w:r>
      <w:r>
        <w:t xml:space="preserve"> </w:t>
      </w:r>
      <w:hyperlink r:id="rId23">
        <w:r>
          <w:rPr>
            <w:rStyle w:val="Hipercze"/>
            <w:rFonts w:ascii="Times New Roman" w:hAnsi="Times New Roman"/>
          </w:rPr>
          <w:t>https://ec.europa.eu/growth/tools-databases/eip-raw-materials/en/content/eip-raw-materials-monitoring-and-evaluation-scheme</w:t>
        </w:r>
      </w:hyperlink>
    </w:p>
  </w:footnote>
  <w:footnote w:id="56">
    <w:p w14:paraId="08CB942D" w14:textId="77777777" w:rsidR="008600A5" w:rsidRDefault="00520B9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rPr>
          <w:rStyle w:val="Odwoanieprzypisudolnego"/>
        </w:rPr>
        <w:t xml:space="preserve"> </w:t>
      </w:r>
      <w:r>
        <w:rPr>
          <w:rFonts w:ascii="Times New Roman" w:hAnsi="Times New Roman"/>
        </w:rPr>
        <w:t>A także nowo opracowanych danych dotyczących marnowania żywności (zob. sekcja 5.2)</w:t>
      </w:r>
      <w:r>
        <w:rPr>
          <w:rFonts w:ascii="Times New Roman" w:hAnsi="Times New Roman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D16C" w14:textId="77777777" w:rsidR="008600A5" w:rsidRDefault="008600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F099D" w14:textId="77777777" w:rsidR="008600A5" w:rsidRDefault="008600A5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7D2A7" w14:textId="77777777" w:rsidR="008600A5" w:rsidRDefault="008600A5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CE670" w14:textId="77777777" w:rsidR="008600A5" w:rsidRDefault="00520B94">
    <w:pPr>
      <w:pStyle w:val="Nagwek"/>
    </w:pPr>
    <w:r>
      <w:rPr>
        <w:noProof/>
      </w:rPr>
      <w:pict w14:anchorId="3C3599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6760" o:spid="_x0000_s2053" type="#_x0000_t136" style="position:absolute;margin-left:0;margin-top:0;width:465.1pt;height:174.4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KUMENT WEWNĘTRZN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F3DD" w14:textId="77777777" w:rsidR="008600A5" w:rsidRDefault="008600A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75AE3" w14:textId="77777777" w:rsidR="008600A5" w:rsidRDefault="00520B94">
    <w:pPr>
      <w:pStyle w:val="Nagwek"/>
    </w:pPr>
    <w:r>
      <w:rPr>
        <w:noProof/>
      </w:rPr>
      <w:pict w14:anchorId="6F607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96759" o:spid="_x0000_s2054" type="#_x0000_t136" style="position:absolute;margin-left:0;margin-top:0;width:465.1pt;height:174.4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KUMENT WEWNĘTRZN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8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9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B3751CC"/>
    <w:multiLevelType w:val="multilevel"/>
    <w:tmpl w:val="020A9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7"/>
  </w:num>
  <w:num w:numId="3">
    <w:abstractNumId w:val="2"/>
  </w:num>
  <w:num w:numId="4">
    <w:abstractNumId w:val="6"/>
  </w:num>
  <w:num w:numId="5">
    <w:abstractNumId w:val="12"/>
  </w:num>
  <w:num w:numId="6">
    <w:abstractNumId w:val="13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  <w:num w:numId="13">
    <w:abstractNumId w:val="5"/>
  </w:num>
  <w:num w:numId="14">
    <w:abstractNumId w:val="0"/>
  </w:num>
  <w:num w:numId="15">
    <w:abstractNumId w:val="3"/>
  </w:num>
  <w:num w:numId="16">
    <w:abstractNumId w:val="14"/>
  </w:num>
  <w:num w:numId="17">
    <w:abstractNumId w:val="7"/>
  </w:num>
  <w:num w:numId="18">
    <w:abstractNumId w:val="2"/>
  </w:num>
  <w:num w:numId="19">
    <w:abstractNumId w:val="6"/>
  </w:num>
  <w:num w:numId="20">
    <w:abstractNumId w:val="12"/>
  </w:num>
  <w:num w:numId="21">
    <w:abstractNumId w:val="13"/>
  </w:num>
  <w:num w:numId="22">
    <w:abstractNumId w:val="4"/>
  </w:num>
  <w:num w:numId="23">
    <w:abstractNumId w:val="11"/>
  </w:num>
  <w:num w:numId="24">
    <w:abstractNumId w:val="10"/>
  </w:num>
  <w:num w:numId="25">
    <w:abstractNumId w:val="8"/>
  </w:num>
  <w:num w:numId="26">
    <w:abstractNumId w:val="9"/>
  </w:num>
  <w:num w:numId="27">
    <w:abstractNumId w:val="1"/>
  </w:num>
  <w:num w:numId="28">
    <w:abstractNumId w:val="5"/>
  </w:num>
  <w:num w:numId="29">
    <w:abstractNumId w:val="0"/>
  </w:num>
  <w:num w:numId="30">
    <w:abstractNumId w:val="3"/>
  </w:num>
  <w:num w:numId="31">
    <w:abstractNumId w:val="14"/>
  </w:num>
  <w:num w:numId="32">
    <w:abstractNumId w:val="1"/>
  </w:num>
  <w:num w:numId="33">
    <w:abstractNumId w:val="5"/>
  </w:num>
  <w:num w:numId="34">
    <w:abstractNumId w:val="0"/>
  </w:num>
  <w:num w:numId="35">
    <w:abstractNumId w:val="3"/>
  </w:num>
  <w:num w:numId="36">
    <w:abstractNumId w:val="14"/>
  </w:num>
  <w:num w:numId="37">
    <w:abstractNumId w:val="1"/>
  </w:num>
  <w:num w:numId="38">
    <w:abstractNumId w:val="5"/>
  </w:num>
  <w:num w:numId="39">
    <w:abstractNumId w:val="0"/>
  </w:num>
  <w:num w:numId="40">
    <w:abstractNumId w:val="3"/>
  </w:num>
  <w:num w:numId="41">
    <w:abstractNumId w:val="14"/>
  </w:num>
  <w:num w:numId="42">
    <w:abstractNumId w:val="1"/>
  </w:num>
  <w:num w:numId="43">
    <w:abstractNumId w:val="5"/>
  </w:num>
  <w:num w:numId="44">
    <w:abstractNumId w:val="0"/>
  </w:num>
  <w:num w:numId="45">
    <w:abstractNumId w:val="3"/>
  </w:num>
  <w:num w:numId="46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attachedTemplate r:id="rId1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VERPAGE_EXISTS" w:val="True"/>
    <w:docVar w:name="DocStatus" w:val="Green"/>
    <w:docVar w:name="LW_CONFIDENCE" w:val=" "/>
    <w:docVar w:name="LW_CONST_RESTREINT_UE" w:val="RESTREINT UE"/>
    <w:docVar w:name="LW_CORRIGENDUM" w:val="&lt;UNUSED&gt;"/>
    <w:docVar w:name="LW_COVERPAGE_GUID" w:val="EEAD5A2844684DCD8FCD4A53E6A1734A"/>
    <w:docVar w:name="LW_CROSSREFERENCE" w:val="&lt;UNUSED&gt;"/>
    <w:docVar w:name="LW_DocType" w:val="NORMAL"/>
    <w:docVar w:name="LW_EMISSION" w:val="2.12.2015"/>
    <w:docVar w:name="LW_EMISSION_ISODATE" w:val="2015-12-02"/>
    <w:docVar w:name="LW_EMISSION_LOCATION" w:val="BRX"/>
    <w:docVar w:name="LW_EMISSION_PREFIX" w:val="Bruksela, dnia "/>
    <w:docVar w:name="LW_EMISSION_SUFFIX" w:val=" r."/>
    <w:docVar w:name="LW_ID_DOCTYPE_NONLW" w:val="CP-014"/>
    <w:docVar w:name="LW_LANGUE" w:val="PL"/>
    <w:docVar w:name="LW_MARKING" w:val="&lt;UNUSED&gt;"/>
    <w:docVar w:name="LW_NOM.INST" w:val="KOMISJA EUROPEJSK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15) 614"/>
    <w:docVar w:name="LW_REF.INTERNE" w:val="&lt;UNUSED&gt;"/>
    <w:docVar w:name="LW_SOUS.TITRE.OBJ.CP" w:val="&lt;UNUSED&gt;"/>
    <w:docVar w:name="LW_SUPERTITRE" w:val="&lt;UNUSED&gt;"/>
    <w:docVar w:name="LW_TITRE.OBJ.CP" w:val="Zamkni\u281?cie obiegu - plan dzia\u322?ania UE dotycz\u261?cy gospodarki o obiegu zamkni\u281?tym"/>
    <w:docVar w:name="LW_TYPE.DOC.CP" w:val="KOMUNIKAT KOMISJI DO PARLAMENTU EUROPEJSKIEGO, RADY, EUROPEJSKIEGO KOMITETU EKONOMICZNO-SPO\u321?ECZNEGO I KOMITETU REGIONÓW"/>
    <w:docVar w:name="LW_TYPE.DOC.CP.USERTEXT" w:val="&lt;EMPTY&gt;"/>
  </w:docVars>
  <w:rsids>
    <w:rsidRoot w:val="008600A5"/>
    <w:rsid w:val="00230F96"/>
    <w:rsid w:val="00520B94"/>
    <w:rsid w:val="0086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35A42C9"/>
  <w15:docId w15:val="{6FDC0D06-F040-4C2E-8F17-D15190AA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pl-P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 text,Reference,Fußnote,Footnote Text Char Char,Footnote Text Char Char Char Char,Footnote Text1,Footnote Text Char Char Char,Fu§notentext Char,Fu§notentext Char1 Char1,Fu§notentext Char Char Char Char,o,fn,Fußn,f"/>
    <w:basedOn w:val="Normalny"/>
    <w:link w:val="TekstprzypisudolnegoZnak"/>
    <w:uiPriority w:val="99"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text Znak,Reference Znak,Fußnote Znak,Footnote Text Char Char Znak,Footnote Text Char Char Char Char Znak,Footnote Text1 Znak,Footnote Text Char Char Char Znak,Fu§notentext Char Znak,Fu§notentext Char1 Char1 Znak"/>
    <w:basedOn w:val="Domylnaczcionkaakapitu"/>
    <w:link w:val="Tekstprzypisudolnego"/>
    <w:uiPriority w:val="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Caractresdenotedebasdepage">
    <w:name w:val="Caractères de note de bas de page"/>
  </w:style>
  <w:style w:type="character" w:customStyle="1" w:styleId="Marker">
    <w:name w:val="Marker"/>
    <w:basedOn w:val="Domylnaczcionkaakapitu"/>
    <w:rPr>
      <w:color w:val="0000FF"/>
      <w:shd w:val="clear" w:color="auto" w:fill="auto"/>
    </w:rPr>
  </w:style>
  <w:style w:type="paragraph" w:customStyle="1" w:styleId="Pagedecouverture">
    <w:name w:val="Page de couverture"/>
    <w:basedOn w:val="Normalny"/>
    <w:next w:val="Normalny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FooterCoverPage">
    <w:name w:val="Footer Cover Page"/>
    <w:basedOn w:val="Normalny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  <w:szCs w:val="24"/>
    </w:rPr>
  </w:style>
  <w:style w:type="character" w:customStyle="1" w:styleId="FooterCoverPageChar">
    <w:name w:val="Footer Cover Page Char"/>
    <w:basedOn w:val="Domylnaczcionkaakapitu"/>
    <w:link w:val="FooterCoverPage"/>
    <w:rPr>
      <w:rFonts w:ascii="Times New Roman" w:hAnsi="Times New Roman" w:cs="Times New Roman"/>
      <w:sz w:val="24"/>
      <w:szCs w:val="24"/>
    </w:rPr>
  </w:style>
  <w:style w:type="paragraph" w:customStyle="1" w:styleId="HeaderCoverPage">
    <w:name w:val="Header Cover Page"/>
    <w:basedOn w:val="Normalny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HeaderCoverPageChar">
    <w:name w:val="Header Cover Page Char"/>
    <w:basedOn w:val="Domylnaczcionkaakapitu"/>
    <w:link w:val="HeaderCoverPage"/>
    <w:rPr>
      <w:rFonts w:ascii="Times New Roman" w:hAnsi="Times New Roman" w:cs="Times New Roman"/>
      <w:sz w:val="24"/>
      <w:szCs w:val="24"/>
    </w:rPr>
  </w:style>
  <w:style w:type="paragraph" w:customStyle="1" w:styleId="Contact">
    <w:name w:val="Contact"/>
    <w:basedOn w:val="Normalny"/>
    <w:next w:val="Normalny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punktowana">
    <w:name w:val="List Bullet"/>
    <w:basedOn w:val="Normalny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Bullet1">
    <w:name w:val="List Bullet 1"/>
    <w:basedOn w:val="Normalny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punktowana2">
    <w:name w:val="List Bullet 2"/>
    <w:basedOn w:val="Normalny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punktowana3">
    <w:name w:val="List Bullet 3"/>
    <w:basedOn w:val="Normalny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punktowana4">
    <w:name w:val="List Bullet 4"/>
    <w:basedOn w:val="Normalny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Dash">
    <w:name w:val="List Dash"/>
    <w:basedOn w:val="Normalny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Dash1">
    <w:name w:val="List Dash 1"/>
    <w:basedOn w:val="Normalny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Dash2">
    <w:name w:val="List Dash 2"/>
    <w:basedOn w:val="Normalny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Dash3">
    <w:name w:val="List Dash 3"/>
    <w:basedOn w:val="Normalny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Dash4">
    <w:name w:val="List Dash 4"/>
    <w:basedOn w:val="Normalny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numerowana">
    <w:name w:val="List Number"/>
    <w:basedOn w:val="Normalny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1">
    <w:name w:val="List Number 1"/>
    <w:basedOn w:val="Normalny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numerowana2">
    <w:name w:val="List Number 2"/>
    <w:basedOn w:val="Normalny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numerowana3">
    <w:name w:val="List Number 3"/>
    <w:basedOn w:val="Normalny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Listanumerowana4">
    <w:name w:val="List Number 4"/>
    <w:basedOn w:val="Normalny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Level2">
    <w:name w:val="List Number (Level 2)"/>
    <w:basedOn w:val="Normalny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1Level2">
    <w:name w:val="List Number 1 (Level 2)"/>
    <w:basedOn w:val="Normalny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2Level2">
    <w:name w:val="List Number 2 (Level 2)"/>
    <w:basedOn w:val="Normalny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3Level2">
    <w:name w:val="List Number 3 (Level 2)"/>
    <w:basedOn w:val="Normalny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4Level2">
    <w:name w:val="List Number 4 (Level 2)"/>
    <w:basedOn w:val="Normalny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Level3">
    <w:name w:val="List Number (Level 3)"/>
    <w:basedOn w:val="Normalny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1Level3">
    <w:name w:val="List Number 1 (Level 3)"/>
    <w:basedOn w:val="Normalny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2Level3">
    <w:name w:val="List Number 2 (Level 3)"/>
    <w:basedOn w:val="Normalny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3Level3">
    <w:name w:val="List Number 3 (Level 3)"/>
    <w:basedOn w:val="Normalny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4Level3">
    <w:name w:val="List Number 4 (Level 3)"/>
    <w:basedOn w:val="Normalny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Level4">
    <w:name w:val="List Number (Level 4)"/>
    <w:basedOn w:val="Normalny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1Level4">
    <w:name w:val="List Number 1 (Level 4)"/>
    <w:basedOn w:val="Normalny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2Level4">
    <w:name w:val="List Number 2 (Level 4)"/>
    <w:basedOn w:val="Normalny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3Level4">
    <w:name w:val="List Number 3 (Level 4)"/>
    <w:basedOn w:val="Normalny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customStyle="1" w:styleId="ListNumber4Level4">
    <w:name w:val="List Number 4 (Level 4)"/>
    <w:basedOn w:val="Normalny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 w:bidi="ar-SA"/>
    </w:r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  <w:lang w:eastAsia="en-US" w:bidi="ar-SA"/>
    </w:r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ormalny"/>
    <w:next w:val="Normalny"/>
    <w:qFormat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 w:bidi="ar-SA"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customXml" Target="../customXml/item2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waste/weee/index_en.htm" TargetMode="External"/><Relationship Id="rId13" Type="http://schemas.openxmlformats.org/officeDocument/2006/relationships/hyperlink" Target="http://ec.europa.eu/research/participants/data/ref/fp7/132129/f-wp-201301_en.pdf" TargetMode="External"/><Relationship Id="rId18" Type="http://schemas.openxmlformats.org/officeDocument/2006/relationships/hyperlink" Target="http://www.eib.org/products/blending/innovfin/?lang=en" TargetMode="External"/><Relationship Id="rId3" Type="http://schemas.openxmlformats.org/officeDocument/2006/relationships/hyperlink" Target="http://ec.europa.eu/regional_policy/index.cfm/en/information/legislation/guidance/" TargetMode="External"/><Relationship Id="rId21" Type="http://schemas.openxmlformats.org/officeDocument/2006/relationships/hyperlink" Target="http://ec.europa.eu/transparency/regdoc/rep/1/2014/EN/1-2014-446-EN-F1-1.Pdfhttp:/ec.europa.eu/transparency/regdoc/rep/1/2014/EN/1-2014-446-EN-F1-1.Pdf" TargetMode="External"/><Relationship Id="rId7" Type="http://schemas.openxmlformats.org/officeDocument/2006/relationships/hyperlink" Target="http://ec.europa.eu/enterprise/policies/raw-materials/critical/index_en.htm" TargetMode="External"/><Relationship Id="rId12" Type="http://schemas.openxmlformats.org/officeDocument/2006/relationships/hyperlink" Target="http://ec.europa.eu/research/participants/data/ref/h2020/wp/2014_2015/main/h2020-wp1415-climate_en.pdf" TargetMode="External"/><Relationship Id="rId17" Type="http://schemas.openxmlformats.org/officeDocument/2006/relationships/hyperlink" Target="http://eur-lex.europa.eu/LexUriServ/LexUriServ.do?uri=COM:2012:0209:FIN:PL:PDF" TargetMode="External"/><Relationship Id="rId2" Type="http://schemas.openxmlformats.org/officeDocument/2006/relationships/hyperlink" Target="http://ec.europa.eu/environment/etv/etv_preprog.htm" TargetMode="External"/><Relationship Id="rId16" Type="http://schemas.openxmlformats.org/officeDocument/2006/relationships/hyperlink" Target="http://ec.europa.eu/regional_policy/en/policy/what/investment-policy/" TargetMode="External"/><Relationship Id="rId20" Type="http://schemas.openxmlformats.org/officeDocument/2006/relationships/hyperlink" Target="http://ec.europa.eu/social/main.jsp?catId=1081" TargetMode="External"/><Relationship Id="rId1" Type="http://schemas.openxmlformats.org/officeDocument/2006/relationships/hyperlink" Target="http://eur-lex.europa.eu/legal-content/EN/TXT/?uri=CELEX:52014DC0440" TargetMode="External"/><Relationship Id="rId6" Type="http://schemas.openxmlformats.org/officeDocument/2006/relationships/hyperlink" Target="http://ec.europa.eu/food/safety/food_waste/stop/index_en.htm" TargetMode="External"/><Relationship Id="rId11" Type="http://schemas.openxmlformats.org/officeDocument/2006/relationships/hyperlink" Target="http://ec.europa.eu/research/bioeconomy/index.cfm" TargetMode="External"/><Relationship Id="rId5" Type="http://schemas.openxmlformats.org/officeDocument/2006/relationships/hyperlink" Target="http://eur-lex.europa.eu/legal-content/PL/TXT/?uri=CELEX:52013DC0123" TargetMode="External"/><Relationship Id="rId15" Type="http://schemas.openxmlformats.org/officeDocument/2006/relationships/hyperlink" Target="http://s3platform.jrc.ec.europa.eu/home" TargetMode="External"/><Relationship Id="rId23" Type="http://schemas.openxmlformats.org/officeDocument/2006/relationships/hyperlink" Target="https://ec.europa.eu/growth/tools-databases/eip-raw-materials/en/content/eip-raw-materials-monitoring-and-evaluation-scheme" TargetMode="External"/><Relationship Id="rId10" Type="http://schemas.openxmlformats.org/officeDocument/2006/relationships/hyperlink" Target="http://eur-lex.europa.eu/legal-content/PL/TXT/?qid=1411482206636&amp;uri=CELEX:52014DC0445" TargetMode="External"/><Relationship Id="rId19" Type="http://schemas.openxmlformats.org/officeDocument/2006/relationships/hyperlink" Target="http://eur-lex.europa.eu/legal-content/PL/TXT/?uri=CELEX:52014DC0440" TargetMode="External"/><Relationship Id="rId4" Type="http://schemas.openxmlformats.org/officeDocument/2006/relationships/hyperlink" Target="http://eur-lex.europa.eu/legal-content/EN/TXT/?uri=OJ:L:2014:189:TOC" TargetMode="External"/><Relationship Id="rId9" Type="http://schemas.openxmlformats.org/officeDocument/2006/relationships/hyperlink" Target="http://ec.europa.eu/environment/waste/construction_demolition.htm" TargetMode="External"/><Relationship Id="rId14" Type="http://schemas.openxmlformats.org/officeDocument/2006/relationships/hyperlink" Target="http://ec.europa.eu/environment/ecoap/index_en.htm" TargetMode="External"/><Relationship Id="rId22" Type="http://schemas.openxmlformats.org/officeDocument/2006/relationships/hyperlink" Target="http://ec.europa.eu/eurostat/web/environmental-data-centre-on-natural-resources/resource-efficiency-indicators/resource-efficiency-scoreboar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11283C5480D44F95A97E631E2779EA" ma:contentTypeVersion="17" ma:contentTypeDescription="Utwórz nowy dokument." ma:contentTypeScope="" ma:versionID="92714b209882bb3c071fba7633ee5081">
  <xsd:schema xmlns:xsd="http://www.w3.org/2001/XMLSchema" xmlns:xs="http://www.w3.org/2001/XMLSchema" xmlns:p="http://schemas.microsoft.com/office/2006/metadata/properties" xmlns:ns2="4859c0d4-b3b4-438a-95a3-37f1e1e24ef8" xmlns:ns3="20fb3301-5559-411e-b202-f49b3d6a9e5d" targetNamespace="http://schemas.microsoft.com/office/2006/metadata/properties" ma:root="true" ma:fieldsID="827068493c2f5a40584cb89a77cc46c0" ns2:_="" ns3:_="">
    <xsd:import namespace="4859c0d4-b3b4-438a-95a3-37f1e1e24ef8"/>
    <xsd:import namespace="20fb3301-5559-411e-b202-f49b3d6a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9c0d4-b3b4-438a-95a3-37f1e1e24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06a21755-4591-420e-bebf-2f55697d3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b3301-5559-411e-b202-f49b3d6a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804142e-622c-47ca-9332-d78265778a71}" ma:internalName="TaxCatchAll" ma:showField="CatchAllData" ma:web="20fb3301-5559-411e-b202-f49b3d6a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fb3301-5559-411e-b202-f49b3d6a9e5d" xsi:nil="true"/>
    <lcf76f155ced4ddcb4097134ff3c332f xmlns="4859c0d4-b3b4-438a-95a3-37f1e1e24e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18AFE1-D51B-40B1-8A6E-F10A28D2BA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DE14C0-CF17-4E2D-9F2E-4790FA69B95A}"/>
</file>

<file path=customXml/itemProps3.xml><?xml version="1.0" encoding="utf-8"?>
<ds:datastoreItem xmlns:ds="http://schemas.openxmlformats.org/officeDocument/2006/customXml" ds:itemID="{61333220-53C0-4DE8-8654-18DE62D16375}"/>
</file>

<file path=customXml/itemProps4.xml><?xml version="1.0" encoding="utf-8"?>
<ds:datastoreItem xmlns:ds="http://schemas.openxmlformats.org/officeDocument/2006/customXml" ds:itemID="{D7C8D4FA-39A1-43D4-A6BD-4710532B7B66}"/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25</Pages>
  <Words>9173</Words>
  <Characters>55043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Kretkowska</dc:creator>
  <cp:lastModifiedBy>Aleksandra Kretkowska</cp:lastModifiedBy>
  <cp:revision>2</cp:revision>
  <cp:lastPrinted>2015-11-27T14:53:00Z</cp:lastPrinted>
  <dcterms:created xsi:type="dcterms:W3CDTF">2020-05-11T17:26:00Z</dcterms:created>
  <dcterms:modified xsi:type="dcterms:W3CDTF">2020-05-11T17:26:00Z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  <property fmtid="{D5CDD505-2E9C-101B-9397-08002B2CF9AE}" pid="6" name="ELDocType">
    <vt:lpwstr>REP.DOT</vt:lpwstr>
  </property>
  <property fmtid="{D5CDD505-2E9C-101B-9397-08002B2CF9AE}" pid="7" name="Created using">
    <vt:lpwstr>3.0</vt:lpwstr>
  </property>
  <property fmtid="{D5CDD505-2E9C-101B-9397-08002B2CF9AE}" pid="8" name="Last edited using">
    <vt:lpwstr>EL </vt:lpwstr>
  </property>
  <property fmtid="{D5CDD505-2E9C-101B-9397-08002B2CF9AE}" pid="9" name="Formatting">
    <vt:lpwstr>4.1</vt:lpwstr>
  </property>
  <property fmtid="{D5CDD505-2E9C-101B-9397-08002B2CF9AE}" pid="10" name="ContentTypeId">
    <vt:lpwstr>0x010100B711283C5480D44F95A97E631E2779EA</vt:lpwstr>
  </property>
</Properties>
</file>