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5379C" w14:textId="77777777" w:rsidR="00F8448B" w:rsidRDefault="00C324C4">
      <w:pPr>
        <w:pStyle w:val="Pagedecouverture"/>
        <w:rPr>
          <w:noProof/>
        </w:rPr>
      </w:pPr>
      <w:bookmarkStart w:id="0" w:name="LW_BM_COVERPAGE"/>
      <w:r>
        <w:rPr>
          <w:noProof/>
        </w:rPr>
        <w:pict w14:anchorId="17E02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CE0D739-2114-4314-AD64-1DCF1A3B71B8" style="width:450pt;height:434.5pt">
            <v:imagedata r:id="rId11" o:title=""/>
          </v:shape>
        </w:pict>
      </w:r>
    </w:p>
    <w:bookmarkEnd w:id="0"/>
    <w:p w14:paraId="3563257B" w14:textId="77777777" w:rsidR="00F8448B" w:rsidRDefault="00F8448B">
      <w:pPr>
        <w:rPr>
          <w:noProof/>
        </w:rPr>
        <w:sectPr w:rsidR="00F8448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14:paraId="37A19E4E" w14:textId="77777777" w:rsidR="00F8448B" w:rsidRDefault="00F8448B">
      <w:pPr>
        <w:pStyle w:val="Pagedecouverture"/>
        <w:tabs>
          <w:tab w:val="left" w:pos="5152"/>
        </w:tabs>
        <w:rPr>
          <w:noProof/>
        </w:rPr>
      </w:pPr>
    </w:p>
    <w:p w14:paraId="4E42F259" w14:textId="77777777" w:rsidR="00F8448B" w:rsidRDefault="00423A39">
      <w:pPr>
        <w:pStyle w:val="Nagwek1"/>
        <w:spacing w:before="0" w:after="120"/>
        <w:rPr>
          <w:noProof/>
        </w:rPr>
      </w:pPr>
      <w:r>
        <w:rPr>
          <w:noProof/>
        </w:rPr>
        <w:t xml:space="preserve">ZAŁĄCZNIK </w:t>
      </w:r>
    </w:p>
    <w:p w14:paraId="79581C44" w14:textId="77777777" w:rsidR="00F8448B" w:rsidRDefault="00F8448B">
      <w:pPr>
        <w:rPr>
          <w:noProof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7763"/>
        <w:gridCol w:w="1276"/>
      </w:tblGrid>
      <w:tr w:rsidR="00F8448B" w14:paraId="07FAA3E2" w14:textId="77777777">
        <w:tc>
          <w:tcPr>
            <w:tcW w:w="7763" w:type="dxa"/>
          </w:tcPr>
          <w:p w14:paraId="44415809" w14:textId="77777777" w:rsidR="00F8448B" w:rsidRDefault="00423A3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Kluczowe działania</w:t>
            </w:r>
          </w:p>
        </w:tc>
        <w:tc>
          <w:tcPr>
            <w:tcW w:w="1276" w:type="dxa"/>
          </w:tcPr>
          <w:p w14:paraId="19DB2A83" w14:textId="77777777" w:rsidR="00F8448B" w:rsidRDefault="00423A3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Data</w:t>
            </w:r>
          </w:p>
        </w:tc>
      </w:tr>
      <w:tr w:rsidR="00F8448B" w14:paraId="4ED47186" w14:textId="77777777">
        <w:tc>
          <w:tcPr>
            <w:tcW w:w="9039" w:type="dxa"/>
            <w:gridSpan w:val="2"/>
            <w:shd w:val="clear" w:color="auto" w:fill="D9D9D9" w:themeFill="background1" w:themeFillShade="D9"/>
          </w:tcPr>
          <w:p w14:paraId="356DC2BC" w14:textId="77777777" w:rsidR="00F8448B" w:rsidRDefault="00423A3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RAMY POLITYKI ZRÓWNOWAŻONYCH PRODUKTÓW</w:t>
            </w:r>
          </w:p>
        </w:tc>
      </w:tr>
      <w:tr w:rsidR="00F8448B" w14:paraId="2226FCBF" w14:textId="77777777">
        <w:tc>
          <w:tcPr>
            <w:tcW w:w="7763" w:type="dxa"/>
          </w:tcPr>
          <w:p w14:paraId="4714099B" w14:textId="77777777" w:rsidR="00F8448B" w:rsidRDefault="00423A3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Wniosek ustawodawczy dotyczący </w:t>
            </w:r>
            <w:r>
              <w:rPr>
                <w:rFonts w:ascii="Times New Roman" w:hAnsi="Times New Roman"/>
                <w:b/>
                <w:noProof/>
              </w:rPr>
              <w:t>inicjatywy w zakresie polityki zrównoważonych produktów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1276" w:type="dxa"/>
          </w:tcPr>
          <w:p w14:paraId="66C156AC" w14:textId="77777777" w:rsidR="00F8448B" w:rsidRDefault="00423A3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 w:rsidR="00F8448B" w14:paraId="3C109D8C" w14:textId="77777777">
        <w:tc>
          <w:tcPr>
            <w:tcW w:w="7763" w:type="dxa"/>
            <w:shd w:val="clear" w:color="auto" w:fill="auto"/>
          </w:tcPr>
          <w:p w14:paraId="4CBAF351" w14:textId="77777777" w:rsidR="00F8448B" w:rsidRDefault="00423A3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Wniosek ustawodawczy mający na celu </w:t>
            </w:r>
            <w:r>
              <w:rPr>
                <w:rFonts w:ascii="Times New Roman" w:hAnsi="Times New Roman"/>
                <w:b/>
                <w:noProof/>
              </w:rPr>
              <w:t>wzmocnienie pozycji konsumentów w procesie zielonej transformacji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1276" w:type="dxa"/>
          </w:tcPr>
          <w:p w14:paraId="3B1552A7" w14:textId="77777777" w:rsidR="00F8448B" w:rsidRDefault="00423A3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</w:tr>
      <w:tr w:rsidR="00F8448B" w14:paraId="6E49ED0F" w14:textId="77777777">
        <w:tc>
          <w:tcPr>
            <w:tcW w:w="7763" w:type="dxa"/>
            <w:shd w:val="clear" w:color="auto" w:fill="auto"/>
          </w:tcPr>
          <w:p w14:paraId="6478C545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Środki ustawodawcze i nieustawodawcze ustanawiające nowe „</w:t>
            </w:r>
            <w:r>
              <w:rPr>
                <w:rFonts w:ascii="Times New Roman" w:hAnsi="Times New Roman"/>
                <w:b/>
                <w:noProof/>
              </w:rPr>
              <w:t>prawo do naprawy</w:t>
            </w:r>
            <w:r>
              <w:rPr>
                <w:rFonts w:ascii="Times New Roman" w:hAnsi="Times New Roman"/>
                <w:noProof/>
              </w:rPr>
              <w:t xml:space="preserve">” </w:t>
            </w:r>
          </w:p>
        </w:tc>
        <w:tc>
          <w:tcPr>
            <w:tcW w:w="1276" w:type="dxa"/>
          </w:tcPr>
          <w:p w14:paraId="0834D7DD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 w:rsidR="00F8448B" w14:paraId="148733F7" w14:textId="77777777">
        <w:tc>
          <w:tcPr>
            <w:tcW w:w="7763" w:type="dxa"/>
            <w:shd w:val="clear" w:color="auto" w:fill="auto"/>
          </w:tcPr>
          <w:p w14:paraId="251845FF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Wniosek ustawodawczy dotyczący uzasadniania </w:t>
            </w:r>
            <w:r>
              <w:rPr>
                <w:rFonts w:ascii="Times New Roman" w:hAnsi="Times New Roman"/>
                <w:b/>
                <w:noProof/>
              </w:rPr>
              <w:t>twierdzeń dotyczących ekologiczności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1276" w:type="dxa"/>
          </w:tcPr>
          <w:p w14:paraId="2F4210B1" w14:textId="77777777" w:rsidR="00F8448B" w:rsidRDefault="00423A3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</w:tr>
      <w:tr w:rsidR="00F8448B" w14:paraId="604D46A5" w14:textId="77777777">
        <w:tc>
          <w:tcPr>
            <w:tcW w:w="7763" w:type="dxa"/>
          </w:tcPr>
          <w:p w14:paraId="21E14028" w14:textId="77777777" w:rsidR="00F8448B" w:rsidRDefault="00423A3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Obowiązkowe kryteria i cele zielonych zamówień publicznych</w:t>
            </w:r>
            <w:r>
              <w:rPr>
                <w:rFonts w:ascii="Times New Roman" w:hAnsi="Times New Roman"/>
                <w:noProof/>
              </w:rPr>
              <w:t xml:space="preserve"> w przepisach sektorowych i stopniowe wprowadzanie </w:t>
            </w:r>
            <w:r>
              <w:rPr>
                <w:rFonts w:ascii="Times New Roman" w:hAnsi="Times New Roman"/>
                <w:b/>
                <w:noProof/>
              </w:rPr>
              <w:t>obowiązkowej sprawozdawczości w zakresie zielonych zamówień</w:t>
            </w:r>
            <w:r>
              <w:rPr>
                <w:rFonts w:ascii="Times New Roman" w:hAnsi="Times New Roman"/>
                <w:b/>
                <w:noProof/>
              </w:rPr>
              <w:t xml:space="preserve"> publicznych</w:t>
            </w:r>
          </w:p>
        </w:tc>
        <w:tc>
          <w:tcPr>
            <w:tcW w:w="1276" w:type="dxa"/>
          </w:tcPr>
          <w:p w14:paraId="59670590" w14:textId="77777777" w:rsidR="00F8448B" w:rsidRDefault="00423A3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od 2021</w:t>
            </w:r>
          </w:p>
        </w:tc>
      </w:tr>
      <w:tr w:rsidR="00F8448B" w14:paraId="3BFA43A4" w14:textId="77777777">
        <w:tc>
          <w:tcPr>
            <w:tcW w:w="7763" w:type="dxa"/>
          </w:tcPr>
          <w:p w14:paraId="0F9BFFE9" w14:textId="77777777" w:rsidR="00F8448B" w:rsidRDefault="00423A3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Przegląd </w:t>
            </w:r>
            <w:r>
              <w:rPr>
                <w:rFonts w:ascii="Times New Roman" w:hAnsi="Times New Roman"/>
                <w:b/>
                <w:noProof/>
              </w:rPr>
              <w:t>dyrektywy w sprawie emisji przemysłowych</w:t>
            </w:r>
            <w:r>
              <w:rPr>
                <w:rFonts w:ascii="Times New Roman" w:hAnsi="Times New Roman"/>
                <w:noProof/>
              </w:rPr>
              <w:t>, w tym włączenie praktyk gospodarki o obiegu zamkniętym do przyszłych dokumentów referencyjnych dotyczących najlepszych dostępnych technik</w:t>
            </w:r>
          </w:p>
        </w:tc>
        <w:tc>
          <w:tcPr>
            <w:tcW w:w="1276" w:type="dxa"/>
          </w:tcPr>
          <w:p w14:paraId="6EB54A8F" w14:textId="77777777" w:rsidR="00F8448B" w:rsidRDefault="00423A3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od 2021</w:t>
            </w:r>
          </w:p>
        </w:tc>
      </w:tr>
      <w:tr w:rsidR="00F8448B" w14:paraId="4E0BF280" w14:textId="77777777">
        <w:tc>
          <w:tcPr>
            <w:tcW w:w="7763" w:type="dxa"/>
          </w:tcPr>
          <w:p w14:paraId="0B01AF71" w14:textId="77777777" w:rsidR="00F8448B" w:rsidRDefault="00423A3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Uruchomienie </w:t>
            </w:r>
            <w:r>
              <w:rPr>
                <w:rFonts w:ascii="Times New Roman" w:hAnsi="Times New Roman"/>
                <w:b/>
                <w:noProof/>
              </w:rPr>
              <w:t>prowadzonego przez prze</w:t>
            </w:r>
            <w:r>
              <w:rPr>
                <w:rFonts w:ascii="Times New Roman" w:hAnsi="Times New Roman"/>
                <w:b/>
                <w:noProof/>
              </w:rPr>
              <w:t>mysł systemu sprawozdawczości i certyfikacji opartego na symbiozie przemysłowej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1276" w:type="dxa"/>
          </w:tcPr>
          <w:p w14:paraId="5AB432C1" w14:textId="77777777" w:rsidR="00F8448B" w:rsidRDefault="00423A3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2022</w:t>
            </w:r>
          </w:p>
        </w:tc>
      </w:tr>
      <w:tr w:rsidR="00F8448B" w14:paraId="5DC127BC" w14:textId="77777777">
        <w:tc>
          <w:tcPr>
            <w:tcW w:w="9039" w:type="dxa"/>
            <w:gridSpan w:val="2"/>
            <w:shd w:val="clear" w:color="auto" w:fill="D9D9D9" w:themeFill="background1" w:themeFillShade="D9"/>
          </w:tcPr>
          <w:p w14:paraId="3B62F0EA" w14:textId="77777777" w:rsidR="00F8448B" w:rsidRDefault="00423A3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KLUCZOWE ŁAŃCUCHY WARTOŚCI PRODUKTÓW</w:t>
            </w:r>
          </w:p>
        </w:tc>
      </w:tr>
      <w:tr w:rsidR="00F8448B" w14:paraId="0C0D2CB8" w14:textId="77777777">
        <w:tc>
          <w:tcPr>
            <w:tcW w:w="7763" w:type="dxa"/>
          </w:tcPr>
          <w:p w14:paraId="561E3242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Inicjatywa dotycząca urządzeń elektronicznych o zamkniętym cyklu życia</w:t>
            </w:r>
            <w:r>
              <w:rPr>
                <w:rFonts w:ascii="Times New Roman" w:hAnsi="Times New Roman"/>
                <w:noProof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</w:rPr>
              <w:t>rozwiązanie w zakresie uniwersalnych ładowarek</w:t>
            </w:r>
            <w:r>
              <w:rPr>
                <w:rFonts w:ascii="Times New Roman" w:hAnsi="Times New Roman"/>
                <w:noProof/>
              </w:rPr>
              <w:t xml:space="preserve"> oraz</w:t>
            </w:r>
            <w:r>
              <w:rPr>
                <w:rFonts w:ascii="Times New Roman" w:hAnsi="Times New Roman"/>
                <w:b/>
                <w:noProof/>
              </w:rPr>
              <w:t xml:space="preserve"> systemy nagradzania za zwrot starych urządzeń</w:t>
            </w:r>
          </w:p>
        </w:tc>
        <w:tc>
          <w:tcPr>
            <w:tcW w:w="1276" w:type="dxa"/>
          </w:tcPr>
          <w:p w14:paraId="5F7AFB72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2020/2021</w:t>
            </w:r>
          </w:p>
        </w:tc>
      </w:tr>
      <w:tr w:rsidR="00F8448B" w14:paraId="4A2D1227" w14:textId="77777777">
        <w:tc>
          <w:tcPr>
            <w:tcW w:w="7763" w:type="dxa"/>
          </w:tcPr>
          <w:p w14:paraId="70793C53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Przegląd dyrektywy w sprawie w sprawie </w:t>
            </w:r>
            <w:r>
              <w:rPr>
                <w:rFonts w:ascii="Times New Roman" w:hAnsi="Times New Roman"/>
                <w:b/>
                <w:noProof/>
              </w:rPr>
              <w:t>ograniczenia stosowania niektórych niebezpiecznych substancji w sprzęcie elektrycznym i elektronicznym</w:t>
            </w:r>
            <w:r>
              <w:rPr>
                <w:rFonts w:ascii="Times New Roman" w:hAnsi="Times New Roman"/>
                <w:noProof/>
              </w:rPr>
              <w:t xml:space="preserve"> oraz wytyczne objaśniające jej powiązania z rozporządzen</w:t>
            </w:r>
            <w:r>
              <w:rPr>
                <w:rFonts w:ascii="Times New Roman" w:hAnsi="Times New Roman"/>
                <w:noProof/>
              </w:rPr>
              <w:t>iem REACH i wymogami dotyczącymi ekoprojektu</w:t>
            </w:r>
          </w:p>
        </w:tc>
        <w:tc>
          <w:tcPr>
            <w:tcW w:w="1276" w:type="dxa"/>
          </w:tcPr>
          <w:p w14:paraId="760C1FCE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 w:rsidR="00F8448B" w14:paraId="44F8B4B3" w14:textId="77777777">
        <w:tc>
          <w:tcPr>
            <w:tcW w:w="7763" w:type="dxa"/>
            <w:shd w:val="clear" w:color="auto" w:fill="auto"/>
          </w:tcPr>
          <w:p w14:paraId="3E1E46CC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Wniosek w sprawie nowych </w:t>
            </w:r>
            <w:r>
              <w:rPr>
                <w:rFonts w:ascii="Times New Roman" w:hAnsi="Times New Roman"/>
                <w:b/>
                <w:noProof/>
              </w:rPr>
              <w:t>ram regulacyjnych dotyczących baterii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1276" w:type="dxa"/>
          </w:tcPr>
          <w:p w14:paraId="2A8ED7C7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</w:tr>
      <w:tr w:rsidR="00F8448B" w14:paraId="184C9D63" w14:textId="77777777">
        <w:tc>
          <w:tcPr>
            <w:tcW w:w="7763" w:type="dxa"/>
            <w:shd w:val="clear" w:color="auto" w:fill="auto"/>
          </w:tcPr>
          <w:p w14:paraId="143914D7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Przegląd przepisów dotyczących </w:t>
            </w:r>
            <w:r>
              <w:rPr>
                <w:rFonts w:ascii="Times New Roman" w:hAnsi="Times New Roman"/>
                <w:b/>
                <w:noProof/>
              </w:rPr>
              <w:t xml:space="preserve">pojazdów wycofanych z eksploatacji </w:t>
            </w:r>
          </w:p>
        </w:tc>
        <w:tc>
          <w:tcPr>
            <w:tcW w:w="1276" w:type="dxa"/>
          </w:tcPr>
          <w:p w14:paraId="6CE13F77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 w:rsidR="00F8448B" w14:paraId="2D30485A" w14:textId="77777777">
        <w:tc>
          <w:tcPr>
            <w:tcW w:w="7763" w:type="dxa"/>
            <w:shd w:val="clear" w:color="auto" w:fill="auto"/>
          </w:tcPr>
          <w:p w14:paraId="4E3E9AD5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Przegląd przepisów dotyczących właściwego przetwarzania </w:t>
            </w:r>
            <w:r>
              <w:rPr>
                <w:rFonts w:ascii="Times New Roman" w:hAnsi="Times New Roman"/>
                <w:b/>
                <w:noProof/>
              </w:rPr>
              <w:t xml:space="preserve">olejów odpadowych </w:t>
            </w:r>
          </w:p>
        </w:tc>
        <w:tc>
          <w:tcPr>
            <w:tcW w:w="1276" w:type="dxa"/>
          </w:tcPr>
          <w:p w14:paraId="52C6BC3D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2022</w:t>
            </w:r>
          </w:p>
        </w:tc>
      </w:tr>
      <w:tr w:rsidR="00F8448B" w14:paraId="275FC924" w14:textId="77777777">
        <w:tc>
          <w:tcPr>
            <w:tcW w:w="7763" w:type="dxa"/>
            <w:shd w:val="clear" w:color="auto" w:fill="auto"/>
          </w:tcPr>
          <w:p w14:paraId="30547685" w14:textId="77777777" w:rsidR="00F8448B" w:rsidRDefault="00423A39">
            <w:pPr>
              <w:spacing w:before="120" w:after="120"/>
              <w:jc w:val="both"/>
              <w:rPr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Przegląd w celu </w:t>
            </w:r>
            <w:r>
              <w:rPr>
                <w:rFonts w:ascii="Times New Roman" w:hAnsi="Times New Roman"/>
                <w:b/>
                <w:noProof/>
              </w:rPr>
              <w:t>zaostrzenia zasadniczych wymagań dotyczących opakowań, ograniczenia (nadmiernego) stosowania opakowań</w:t>
            </w:r>
            <w:r>
              <w:rPr>
                <w:rFonts w:ascii="Times New Roman" w:hAnsi="Times New Roman"/>
                <w:noProof/>
              </w:rPr>
              <w:t xml:space="preserve"> i </w:t>
            </w:r>
            <w:r>
              <w:rPr>
                <w:rFonts w:ascii="Times New Roman" w:hAnsi="Times New Roman"/>
                <w:b/>
                <w:noProof/>
              </w:rPr>
              <w:t>redukcji odpadów opakowaniowych</w:t>
            </w:r>
          </w:p>
        </w:tc>
        <w:tc>
          <w:tcPr>
            <w:tcW w:w="1276" w:type="dxa"/>
          </w:tcPr>
          <w:p w14:paraId="33538D48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 w:rsidR="00F8448B" w14:paraId="2FE1BED9" w14:textId="77777777">
        <w:tc>
          <w:tcPr>
            <w:tcW w:w="7763" w:type="dxa"/>
          </w:tcPr>
          <w:p w14:paraId="20B43695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Obowiązkowe wymog</w:t>
            </w:r>
            <w:r>
              <w:rPr>
                <w:rFonts w:ascii="Times New Roman" w:hAnsi="Times New Roman"/>
                <w:noProof/>
              </w:rPr>
              <w:t xml:space="preserve">i dotyczące </w:t>
            </w:r>
            <w:r>
              <w:rPr>
                <w:rFonts w:ascii="Times New Roman" w:hAnsi="Times New Roman"/>
                <w:b/>
                <w:noProof/>
              </w:rPr>
              <w:t>zawartości tworzyw sztucznych pochodzących z recyklingu</w:t>
            </w:r>
            <w:r>
              <w:rPr>
                <w:rFonts w:ascii="Times New Roman" w:hAnsi="Times New Roman"/>
                <w:noProof/>
              </w:rPr>
              <w:t xml:space="preserve"> oraz </w:t>
            </w:r>
            <w:r>
              <w:rPr>
                <w:rFonts w:ascii="Times New Roman" w:hAnsi="Times New Roman"/>
                <w:b/>
                <w:noProof/>
              </w:rPr>
              <w:t>środków ograniczania ilości odpadów tworzyw sztucznych</w:t>
            </w:r>
            <w:r>
              <w:rPr>
                <w:rFonts w:ascii="Times New Roman" w:hAnsi="Times New Roman"/>
                <w:noProof/>
              </w:rPr>
              <w:t xml:space="preserve"> w przypadku kluczowych produktów, takich jak opakowania, materiały budowlane i </w:t>
            </w:r>
            <w:r>
              <w:rPr>
                <w:rFonts w:ascii="Times New Roman" w:hAnsi="Times New Roman"/>
                <w:noProof/>
              </w:rPr>
              <w:lastRenderedPageBreak/>
              <w:t>pojazdy</w:t>
            </w:r>
          </w:p>
        </w:tc>
        <w:tc>
          <w:tcPr>
            <w:tcW w:w="1276" w:type="dxa"/>
            <w:shd w:val="clear" w:color="auto" w:fill="auto"/>
          </w:tcPr>
          <w:p w14:paraId="3C9EB710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lastRenderedPageBreak/>
              <w:t>2021/2022</w:t>
            </w:r>
          </w:p>
        </w:tc>
      </w:tr>
      <w:tr w:rsidR="00F8448B" w14:paraId="03BEE439" w14:textId="77777777">
        <w:tc>
          <w:tcPr>
            <w:tcW w:w="7763" w:type="dxa"/>
          </w:tcPr>
          <w:p w14:paraId="0263631A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Ograniczenia dotyczące </w:t>
            </w:r>
            <w:r>
              <w:rPr>
                <w:rFonts w:ascii="Times New Roman" w:hAnsi="Times New Roman"/>
                <w:b/>
                <w:noProof/>
              </w:rPr>
              <w:t xml:space="preserve">celowo </w:t>
            </w:r>
            <w:r>
              <w:rPr>
                <w:rFonts w:ascii="Times New Roman" w:hAnsi="Times New Roman"/>
                <w:b/>
                <w:noProof/>
              </w:rPr>
              <w:t>dodawanych mikrodrobin plastiku</w:t>
            </w:r>
            <w:r>
              <w:rPr>
                <w:rFonts w:ascii="Times New Roman" w:hAnsi="Times New Roman"/>
                <w:noProof/>
              </w:rPr>
              <w:t xml:space="preserve"> oraz środki w zakresie</w:t>
            </w:r>
            <w:r>
              <w:rPr>
                <w:rFonts w:ascii="Times New Roman" w:hAnsi="Times New Roman"/>
                <w:b/>
                <w:noProof/>
              </w:rPr>
              <w:t xml:space="preserve"> niezamierzonego uwalniania mikrodrobin plastiku</w:t>
            </w:r>
          </w:p>
        </w:tc>
        <w:tc>
          <w:tcPr>
            <w:tcW w:w="1276" w:type="dxa"/>
            <w:shd w:val="clear" w:color="auto" w:fill="auto"/>
          </w:tcPr>
          <w:p w14:paraId="39DD8EDF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 w:rsidR="00F8448B" w14:paraId="7843F7A2" w14:textId="77777777">
        <w:tc>
          <w:tcPr>
            <w:tcW w:w="7763" w:type="dxa"/>
          </w:tcPr>
          <w:p w14:paraId="4D4615B4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Ramy polityki dotyczące </w:t>
            </w:r>
            <w:r>
              <w:rPr>
                <w:rFonts w:ascii="Times New Roman" w:hAnsi="Times New Roman"/>
                <w:b/>
                <w:noProof/>
              </w:rPr>
              <w:t>biopochodnych tworzyw sztucznych i biodegradowalnych lub kompostowalnych tworzyw sztucznych</w:t>
            </w:r>
          </w:p>
        </w:tc>
        <w:tc>
          <w:tcPr>
            <w:tcW w:w="1276" w:type="dxa"/>
            <w:shd w:val="clear" w:color="auto" w:fill="auto"/>
          </w:tcPr>
          <w:p w14:paraId="14BB80AC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 w:rsidR="00F8448B" w14:paraId="725076FD" w14:textId="77777777">
        <w:tc>
          <w:tcPr>
            <w:tcW w:w="7763" w:type="dxa"/>
          </w:tcPr>
          <w:p w14:paraId="6280080C" w14:textId="77777777" w:rsidR="00F8448B" w:rsidRDefault="00423A3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Strategia UE dla sektora </w:t>
            </w:r>
            <w:r>
              <w:rPr>
                <w:rFonts w:ascii="Times New Roman" w:hAnsi="Times New Roman"/>
                <w:b/>
                <w:noProof/>
              </w:rPr>
              <w:t>włókienniczego</w:t>
            </w:r>
          </w:p>
        </w:tc>
        <w:tc>
          <w:tcPr>
            <w:tcW w:w="1276" w:type="dxa"/>
            <w:shd w:val="clear" w:color="auto" w:fill="auto"/>
          </w:tcPr>
          <w:p w14:paraId="64C19A7C" w14:textId="77777777" w:rsidR="00F8448B" w:rsidRDefault="00423A3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 w:rsidR="00F8448B" w14:paraId="297CC3B9" w14:textId="77777777">
        <w:tc>
          <w:tcPr>
            <w:tcW w:w="7763" w:type="dxa"/>
            <w:shd w:val="clear" w:color="auto" w:fill="auto"/>
          </w:tcPr>
          <w:p w14:paraId="13F1AFFD" w14:textId="77777777" w:rsidR="00F8448B" w:rsidRDefault="00423A3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Strategia na rzecz zrównoważonego środowiska zbudowanego</w:t>
            </w:r>
          </w:p>
        </w:tc>
        <w:tc>
          <w:tcPr>
            <w:tcW w:w="1276" w:type="dxa"/>
            <w:shd w:val="clear" w:color="auto" w:fill="auto"/>
          </w:tcPr>
          <w:p w14:paraId="39F93BED" w14:textId="77777777" w:rsidR="00F8448B" w:rsidRDefault="00423A3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 w:rsidR="00F8448B" w14:paraId="39DE3359" w14:textId="77777777">
        <w:trPr>
          <w:trHeight w:val="561"/>
        </w:trPr>
        <w:tc>
          <w:tcPr>
            <w:tcW w:w="7763" w:type="dxa"/>
            <w:shd w:val="clear" w:color="auto" w:fill="auto"/>
          </w:tcPr>
          <w:p w14:paraId="326D54C4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Inicjatywa na rzecz </w:t>
            </w:r>
            <w:r>
              <w:rPr>
                <w:rFonts w:ascii="Times New Roman" w:hAnsi="Times New Roman"/>
                <w:b/>
                <w:noProof/>
              </w:rPr>
              <w:t>zastępowania jednorazowych opakowań, naczyń stołowych i sztućców produktami wielokrotnego użytku w usługach gastronomicznych</w:t>
            </w:r>
          </w:p>
        </w:tc>
        <w:tc>
          <w:tcPr>
            <w:tcW w:w="1276" w:type="dxa"/>
          </w:tcPr>
          <w:p w14:paraId="2759C4C3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 w:rsidR="00F8448B" w14:paraId="5E63C9B3" w14:textId="77777777">
        <w:tc>
          <w:tcPr>
            <w:tcW w:w="9039" w:type="dxa"/>
            <w:gridSpan w:val="2"/>
            <w:shd w:val="clear" w:color="auto" w:fill="D9D9D9" w:themeFill="background1" w:themeFillShade="D9"/>
          </w:tcPr>
          <w:p w14:paraId="1C64B440" w14:textId="77777777" w:rsidR="00F8448B" w:rsidRDefault="00423A3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MNIEJ </w:t>
            </w:r>
            <w:r>
              <w:rPr>
                <w:rFonts w:ascii="Times New Roman" w:hAnsi="Times New Roman"/>
                <w:b/>
                <w:noProof/>
              </w:rPr>
              <w:t>ODPADÓW, WIĘKSZA WARTOŚĆ</w:t>
            </w:r>
          </w:p>
        </w:tc>
      </w:tr>
      <w:tr w:rsidR="00F8448B" w14:paraId="6D3FBE3A" w14:textId="77777777">
        <w:tc>
          <w:tcPr>
            <w:tcW w:w="7763" w:type="dxa"/>
            <w:shd w:val="clear" w:color="auto" w:fill="FFFFFF" w:themeFill="background1"/>
          </w:tcPr>
          <w:p w14:paraId="353DB8B0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Cele w zakresie redukcji ilości odpadów dla określonych strumieni</w:t>
            </w:r>
            <w:r>
              <w:rPr>
                <w:rFonts w:ascii="Times New Roman" w:hAnsi="Times New Roman"/>
                <w:noProof/>
              </w:rPr>
              <w:t xml:space="preserve"> i inne środki dotyczące </w:t>
            </w:r>
            <w:r>
              <w:rPr>
                <w:rFonts w:ascii="Times New Roman" w:hAnsi="Times New Roman"/>
                <w:b/>
                <w:noProof/>
              </w:rPr>
              <w:t>zapobiegania powstawaniu odpadów</w:t>
            </w:r>
          </w:p>
        </w:tc>
        <w:tc>
          <w:tcPr>
            <w:tcW w:w="1276" w:type="dxa"/>
            <w:shd w:val="clear" w:color="auto" w:fill="auto"/>
          </w:tcPr>
          <w:p w14:paraId="1BE2F78E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2022</w:t>
            </w:r>
          </w:p>
        </w:tc>
      </w:tr>
      <w:tr w:rsidR="00F8448B" w14:paraId="75594FE2" w14:textId="77777777">
        <w:tc>
          <w:tcPr>
            <w:tcW w:w="7763" w:type="dxa"/>
            <w:shd w:val="clear" w:color="auto" w:fill="FFFFFF" w:themeFill="background1"/>
          </w:tcPr>
          <w:p w14:paraId="4171A763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Ogólnounijny </w:t>
            </w:r>
            <w:r>
              <w:rPr>
                <w:rFonts w:ascii="Times New Roman" w:hAnsi="Times New Roman"/>
                <w:b/>
                <w:noProof/>
              </w:rPr>
              <w:t>ujednolicony model selektywnej zbiórki odpadów i etykietowania</w:t>
            </w:r>
            <w:r>
              <w:rPr>
                <w:rFonts w:ascii="Times New Roman" w:hAnsi="Times New Roman"/>
                <w:noProof/>
              </w:rPr>
              <w:t xml:space="preserve"> mający ułatwić selektywną zbiórkę</w:t>
            </w:r>
          </w:p>
        </w:tc>
        <w:tc>
          <w:tcPr>
            <w:tcW w:w="1276" w:type="dxa"/>
            <w:shd w:val="clear" w:color="auto" w:fill="auto"/>
          </w:tcPr>
          <w:p w14:paraId="402F6598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2022</w:t>
            </w:r>
          </w:p>
        </w:tc>
      </w:tr>
      <w:tr w:rsidR="00F8448B" w14:paraId="5FC257F5" w14:textId="77777777">
        <w:tc>
          <w:tcPr>
            <w:tcW w:w="7763" w:type="dxa"/>
            <w:shd w:val="clear" w:color="auto" w:fill="FFFFFF" w:themeFill="background1"/>
          </w:tcPr>
          <w:p w14:paraId="7E5A7EDE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Metody śledzenia i minimalizowania obecności substancji potencjalnie niebezpiecznych</w:t>
            </w:r>
            <w:r>
              <w:rPr>
                <w:rFonts w:ascii="Times New Roman" w:hAnsi="Times New Roman"/>
                <w:noProof/>
              </w:rPr>
              <w:t xml:space="preserve"> w materiałach pochodzących z recyklingu i wytworzonych z nich wyrobach</w:t>
            </w:r>
          </w:p>
        </w:tc>
        <w:tc>
          <w:tcPr>
            <w:tcW w:w="1276" w:type="dxa"/>
            <w:shd w:val="clear" w:color="auto" w:fill="auto"/>
          </w:tcPr>
          <w:p w14:paraId="70C20EE5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 w:rsidR="00F8448B" w14:paraId="50DD08B1" w14:textId="77777777">
        <w:tc>
          <w:tcPr>
            <w:tcW w:w="7763" w:type="dxa"/>
            <w:shd w:val="clear" w:color="auto" w:fill="FFFFFF" w:themeFill="background1"/>
          </w:tcPr>
          <w:p w14:paraId="3DB53A14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Zharmonizowane systemy informacji</w:t>
            </w:r>
            <w:r>
              <w:rPr>
                <w:rFonts w:ascii="Times New Roman" w:hAnsi="Times New Roman"/>
                <w:noProof/>
              </w:rPr>
              <w:t xml:space="preserve"> w zakresie obecnośc</w:t>
            </w:r>
            <w:r>
              <w:rPr>
                <w:rFonts w:ascii="Times New Roman" w:hAnsi="Times New Roman"/>
                <w:noProof/>
              </w:rPr>
              <w:t>i substancji potencjalnie niebezpiecznych</w:t>
            </w:r>
          </w:p>
        </w:tc>
        <w:tc>
          <w:tcPr>
            <w:tcW w:w="1276" w:type="dxa"/>
            <w:shd w:val="clear" w:color="auto" w:fill="auto"/>
          </w:tcPr>
          <w:p w14:paraId="6C81F691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 w:rsidR="00F8448B" w14:paraId="59443E16" w14:textId="77777777">
        <w:tc>
          <w:tcPr>
            <w:tcW w:w="7763" w:type="dxa"/>
            <w:shd w:val="clear" w:color="auto" w:fill="FFFFFF" w:themeFill="background1"/>
          </w:tcPr>
          <w:p w14:paraId="4AA35D6B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Określenie zakresu przyszłych </w:t>
            </w:r>
            <w:r>
              <w:rPr>
                <w:rFonts w:ascii="Times New Roman" w:hAnsi="Times New Roman"/>
                <w:b/>
                <w:bCs/>
                <w:noProof/>
              </w:rPr>
              <w:t>ogólnounijnych kryteriów dotyczących zniesienia statusu odpadu oraz produktów ubocznych</w:t>
            </w:r>
          </w:p>
        </w:tc>
        <w:tc>
          <w:tcPr>
            <w:tcW w:w="1276" w:type="dxa"/>
            <w:shd w:val="clear" w:color="auto" w:fill="auto"/>
          </w:tcPr>
          <w:p w14:paraId="7843BA05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 w:rsidR="00F8448B" w14:paraId="4BB0D1A7" w14:textId="77777777">
        <w:tc>
          <w:tcPr>
            <w:tcW w:w="7763" w:type="dxa"/>
            <w:shd w:val="clear" w:color="auto" w:fill="FFFFFF" w:themeFill="background1"/>
          </w:tcPr>
          <w:p w14:paraId="2A0EBDF7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Przegląd przepisów dotyczących </w:t>
            </w:r>
            <w:r>
              <w:rPr>
                <w:rFonts w:ascii="Times New Roman" w:hAnsi="Times New Roman"/>
                <w:b/>
                <w:noProof/>
              </w:rPr>
              <w:t>przemieszczania odpadów</w:t>
            </w:r>
          </w:p>
        </w:tc>
        <w:tc>
          <w:tcPr>
            <w:tcW w:w="1276" w:type="dxa"/>
            <w:shd w:val="clear" w:color="auto" w:fill="auto"/>
          </w:tcPr>
          <w:p w14:paraId="129A7CC2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  <w:tr w:rsidR="00F8448B" w14:paraId="7E9CE1E3" w14:textId="77777777">
        <w:tc>
          <w:tcPr>
            <w:tcW w:w="9039" w:type="dxa"/>
            <w:gridSpan w:val="2"/>
            <w:shd w:val="clear" w:color="auto" w:fill="D9D9D9" w:themeFill="background1" w:themeFillShade="D9"/>
          </w:tcPr>
          <w:p w14:paraId="5967CFD4" w14:textId="77777777" w:rsidR="00F8448B" w:rsidRDefault="00423A39">
            <w:pPr>
              <w:spacing w:before="120" w:after="120"/>
              <w:jc w:val="both"/>
              <w:rPr>
                <w:rFonts w:ascii="Times New Roman Bold" w:eastAsia="Times New Roman" w:hAnsi="Times New Roman Bold" w:cs="Times New Roman"/>
                <w:b/>
                <w:caps/>
                <w:noProof/>
                <w:sz w:val="24"/>
                <w:szCs w:val="24"/>
              </w:rPr>
            </w:pPr>
            <w:r>
              <w:rPr>
                <w:rFonts w:ascii="Times New Roman Bold" w:hAnsi="Times New Roman Bold"/>
                <w:b/>
                <w:caps/>
                <w:noProof/>
              </w:rPr>
              <w:t>Dostosowanie gospodarki o obiegu zamkniętym do potrzeb ludzi, regionów i miast</w:t>
            </w:r>
          </w:p>
        </w:tc>
      </w:tr>
      <w:tr w:rsidR="00F8448B" w14:paraId="507C7845" w14:textId="77777777">
        <w:tc>
          <w:tcPr>
            <w:tcW w:w="7763" w:type="dxa"/>
          </w:tcPr>
          <w:p w14:paraId="6392B48E" w14:textId="77777777" w:rsidR="00F8448B" w:rsidRDefault="00423A3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Wspieranie przejścia na gospodarkę o obiegu zamkniętym za pomocą: </w:t>
            </w:r>
            <w:r>
              <w:rPr>
                <w:rFonts w:ascii="Times New Roman" w:hAnsi="Times New Roman"/>
                <w:b/>
                <w:noProof/>
              </w:rPr>
              <w:t>programu na rzecz umiejętności</w:t>
            </w:r>
            <w:r>
              <w:rPr>
                <w:rFonts w:ascii="Times New Roman" w:hAnsi="Times New Roman"/>
                <w:noProof/>
              </w:rPr>
              <w:t xml:space="preserve">, przyszłego </w:t>
            </w:r>
            <w:r>
              <w:rPr>
                <w:rFonts w:ascii="Times New Roman" w:hAnsi="Times New Roman"/>
                <w:b/>
                <w:noProof/>
              </w:rPr>
              <w:t>planu działania na rzecz gospodarki społecznej</w:t>
            </w:r>
            <w:r>
              <w:rPr>
                <w:rFonts w:ascii="Times New Roman" w:hAnsi="Times New Roman"/>
                <w:noProof/>
              </w:rPr>
              <w:t xml:space="preserve">, </w:t>
            </w:r>
            <w:r>
              <w:rPr>
                <w:rFonts w:ascii="Times New Roman" w:hAnsi="Times New Roman"/>
                <w:b/>
                <w:noProof/>
              </w:rPr>
              <w:t>paktu na rzecz umie</w:t>
            </w:r>
            <w:r>
              <w:rPr>
                <w:rFonts w:ascii="Times New Roman" w:hAnsi="Times New Roman"/>
                <w:b/>
                <w:noProof/>
              </w:rPr>
              <w:t>jętności</w:t>
            </w:r>
            <w:r>
              <w:rPr>
                <w:rFonts w:ascii="Times New Roman" w:hAnsi="Times New Roman"/>
                <w:noProof/>
              </w:rPr>
              <w:t xml:space="preserve"> oraz </w:t>
            </w:r>
            <w:r>
              <w:rPr>
                <w:rFonts w:ascii="Times New Roman" w:hAnsi="Times New Roman"/>
                <w:b/>
                <w:noProof/>
              </w:rPr>
              <w:t xml:space="preserve">Europejskiego Funduszu Społecznego Plus </w:t>
            </w:r>
          </w:p>
        </w:tc>
        <w:tc>
          <w:tcPr>
            <w:tcW w:w="1276" w:type="dxa"/>
          </w:tcPr>
          <w:p w14:paraId="0E25856E" w14:textId="77777777" w:rsidR="00F8448B" w:rsidRDefault="00423A3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od 2020</w:t>
            </w:r>
          </w:p>
        </w:tc>
      </w:tr>
      <w:tr w:rsidR="00F8448B" w14:paraId="61C517AF" w14:textId="77777777">
        <w:tc>
          <w:tcPr>
            <w:tcW w:w="7763" w:type="dxa"/>
          </w:tcPr>
          <w:p w14:paraId="521EC875" w14:textId="77777777" w:rsidR="00F8448B" w:rsidRDefault="00423A39">
            <w:pPr>
              <w:spacing w:before="120" w:after="120"/>
              <w:jc w:val="both"/>
              <w:rPr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Wspieranie przejścia na gospodarkę o obiegu zamkniętym za pomocą: </w:t>
            </w:r>
            <w:r>
              <w:rPr>
                <w:rFonts w:ascii="Times New Roman" w:hAnsi="Times New Roman"/>
                <w:b/>
                <w:noProof/>
              </w:rPr>
              <w:t>funduszy polityki spójności, mechanizmu sprawiedliwej transformacji</w:t>
            </w:r>
            <w:r>
              <w:rPr>
                <w:rFonts w:ascii="Times New Roman" w:hAnsi="Times New Roman"/>
                <w:noProof/>
              </w:rPr>
              <w:t xml:space="preserve"> i </w:t>
            </w:r>
            <w:r>
              <w:rPr>
                <w:rFonts w:ascii="Times New Roman" w:hAnsi="Times New Roman"/>
                <w:b/>
                <w:noProof/>
              </w:rPr>
              <w:t xml:space="preserve">inicjatyw miejskich </w:t>
            </w:r>
          </w:p>
        </w:tc>
        <w:tc>
          <w:tcPr>
            <w:tcW w:w="1276" w:type="dxa"/>
          </w:tcPr>
          <w:p w14:paraId="01FCFEBC" w14:textId="77777777" w:rsidR="00F8448B" w:rsidRDefault="00423A39">
            <w:pPr>
              <w:spacing w:before="120" w:after="120"/>
              <w:jc w:val="both"/>
              <w:rPr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0"/>
              </w:rPr>
              <w:t>od 2020</w:t>
            </w:r>
          </w:p>
        </w:tc>
      </w:tr>
      <w:tr w:rsidR="00F8448B" w14:paraId="3786B6E5" w14:textId="77777777">
        <w:tc>
          <w:tcPr>
            <w:tcW w:w="9039" w:type="dxa"/>
            <w:gridSpan w:val="2"/>
            <w:shd w:val="clear" w:color="auto" w:fill="D9D9D9" w:themeFill="background1" w:themeFillShade="D9"/>
          </w:tcPr>
          <w:p w14:paraId="612A86EA" w14:textId="77777777" w:rsidR="00F8448B" w:rsidRDefault="00423A3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DZIAŁANIA </w:t>
            </w:r>
            <w:r>
              <w:rPr>
                <w:rFonts w:ascii="Times New Roman" w:hAnsi="Times New Roman"/>
                <w:b/>
                <w:noProof/>
              </w:rPr>
              <w:t>PRZEKROJOWE</w:t>
            </w:r>
          </w:p>
        </w:tc>
      </w:tr>
      <w:tr w:rsidR="00F8448B" w14:paraId="649C6125" w14:textId="77777777">
        <w:tc>
          <w:tcPr>
            <w:tcW w:w="7763" w:type="dxa"/>
          </w:tcPr>
          <w:p w14:paraId="46233AA5" w14:textId="77777777" w:rsidR="00F8448B" w:rsidRDefault="00423A3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Poprawa metod pomiaru, modelowania i narzędzi politycznych służących do osiągnięcia </w:t>
            </w:r>
            <w:r>
              <w:rPr>
                <w:rFonts w:ascii="Times New Roman" w:hAnsi="Times New Roman"/>
                <w:b/>
                <w:noProof/>
              </w:rPr>
              <w:t>synergii między gospodarką o obiegu zamkniętym a łagodzeniem zmiany klimatu i adaptacją do niej</w:t>
            </w:r>
            <w:r>
              <w:rPr>
                <w:rFonts w:ascii="Times New Roman" w:hAnsi="Times New Roman"/>
                <w:noProof/>
              </w:rPr>
              <w:t xml:space="preserve"> na szczeblu unijnym i krajowym</w:t>
            </w:r>
          </w:p>
        </w:tc>
        <w:tc>
          <w:tcPr>
            <w:tcW w:w="1276" w:type="dxa"/>
          </w:tcPr>
          <w:p w14:paraId="508DA268" w14:textId="77777777" w:rsidR="00F8448B" w:rsidRDefault="00423A3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od 2020</w:t>
            </w:r>
          </w:p>
        </w:tc>
      </w:tr>
      <w:tr w:rsidR="00F8448B" w14:paraId="14664361" w14:textId="77777777">
        <w:tc>
          <w:tcPr>
            <w:tcW w:w="7763" w:type="dxa"/>
          </w:tcPr>
          <w:p w14:paraId="5E47C1D3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Ramy regulacyjne w zakresie </w:t>
            </w:r>
            <w:r>
              <w:rPr>
                <w:rFonts w:ascii="Times New Roman" w:hAnsi="Times New Roman"/>
                <w:b/>
                <w:noProof/>
              </w:rPr>
              <w:t>certyfikacji usuwania dwutlenku węgla</w:t>
            </w:r>
          </w:p>
        </w:tc>
        <w:tc>
          <w:tcPr>
            <w:tcW w:w="1276" w:type="dxa"/>
          </w:tcPr>
          <w:p w14:paraId="01E39F63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2023</w:t>
            </w:r>
          </w:p>
        </w:tc>
      </w:tr>
      <w:tr w:rsidR="00F8448B" w14:paraId="69689191" w14:textId="77777777">
        <w:tc>
          <w:tcPr>
            <w:tcW w:w="7763" w:type="dxa"/>
          </w:tcPr>
          <w:p w14:paraId="32338C60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Uwzględnienie celów gospodarki o obiegu zamkniętym w przeglądzie wytycznych </w:t>
            </w:r>
            <w:r>
              <w:rPr>
                <w:rFonts w:ascii="Times New Roman" w:hAnsi="Times New Roman"/>
                <w:noProof/>
              </w:rPr>
              <w:lastRenderedPageBreak/>
              <w:t xml:space="preserve">dotyczących </w:t>
            </w:r>
            <w:r>
              <w:rPr>
                <w:rFonts w:ascii="Times New Roman" w:hAnsi="Times New Roman"/>
                <w:b/>
                <w:noProof/>
              </w:rPr>
              <w:t>pomocy państwa w dziedzinie środowiska i energii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1276" w:type="dxa"/>
          </w:tcPr>
          <w:p w14:paraId="7E9D08D3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lastRenderedPageBreak/>
              <w:t>2021</w:t>
            </w:r>
          </w:p>
        </w:tc>
      </w:tr>
      <w:tr w:rsidR="00F8448B" w14:paraId="2D4196CE" w14:textId="77777777">
        <w:tc>
          <w:tcPr>
            <w:tcW w:w="7763" w:type="dxa"/>
          </w:tcPr>
          <w:p w14:paraId="6BA55EE2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Uwzględnianie celów gospodarki o obiegu </w:t>
            </w:r>
            <w:r>
              <w:rPr>
                <w:rFonts w:ascii="Times New Roman" w:hAnsi="Times New Roman"/>
                <w:noProof/>
              </w:rPr>
              <w:t xml:space="preserve">zamkniętym w kontekście przepisów dotyczących </w:t>
            </w:r>
            <w:r>
              <w:rPr>
                <w:rFonts w:ascii="Times New Roman" w:hAnsi="Times New Roman"/>
                <w:b/>
                <w:noProof/>
              </w:rPr>
              <w:t>sprawozdawczości niefinansowej</w:t>
            </w:r>
            <w:r>
              <w:rPr>
                <w:rFonts w:ascii="Times New Roman" w:hAnsi="Times New Roman"/>
                <w:noProof/>
              </w:rPr>
              <w:t xml:space="preserve"> oraz inicjatyw w zakresie </w:t>
            </w:r>
            <w:r>
              <w:rPr>
                <w:rFonts w:ascii="Times New Roman" w:hAnsi="Times New Roman"/>
                <w:b/>
                <w:noProof/>
              </w:rPr>
              <w:t>zrównoważonego ładu korporacyjnego</w:t>
            </w:r>
            <w:r>
              <w:rPr>
                <w:rFonts w:ascii="Times New Roman" w:hAnsi="Times New Roman"/>
                <w:noProof/>
              </w:rPr>
              <w:t xml:space="preserve"> i </w:t>
            </w:r>
            <w:r>
              <w:rPr>
                <w:rFonts w:ascii="Times New Roman" w:hAnsi="Times New Roman"/>
                <w:b/>
                <w:noProof/>
              </w:rPr>
              <w:t>rachunkowości środowiskowej</w:t>
            </w:r>
          </w:p>
        </w:tc>
        <w:tc>
          <w:tcPr>
            <w:tcW w:w="1276" w:type="dxa"/>
          </w:tcPr>
          <w:p w14:paraId="423603EE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2020/2021</w:t>
            </w:r>
          </w:p>
        </w:tc>
      </w:tr>
      <w:tr w:rsidR="00F8448B" w14:paraId="54F183E4" w14:textId="77777777">
        <w:tc>
          <w:tcPr>
            <w:tcW w:w="9039" w:type="dxa"/>
            <w:gridSpan w:val="2"/>
            <w:shd w:val="clear" w:color="auto" w:fill="D9D9D9" w:themeFill="background1" w:themeFillShade="D9"/>
          </w:tcPr>
          <w:p w14:paraId="48433267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noProof/>
              </w:rPr>
              <w:t>POZYCJA LIDERA W DZIAŁANIACH NA POZIOMIE ŚWIATOWYM</w:t>
            </w:r>
          </w:p>
        </w:tc>
      </w:tr>
      <w:tr w:rsidR="00F8448B" w14:paraId="148398E8" w14:textId="77777777">
        <w:tc>
          <w:tcPr>
            <w:tcW w:w="7763" w:type="dxa"/>
          </w:tcPr>
          <w:p w14:paraId="505D9FF0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Cs w:val="20"/>
              </w:rPr>
              <w:t xml:space="preserve">Pozycja lidera w dążeniu </w:t>
            </w:r>
            <w:r>
              <w:rPr>
                <w:rFonts w:ascii="Times New Roman" w:hAnsi="Times New Roman"/>
                <w:noProof/>
                <w:szCs w:val="20"/>
              </w:rPr>
              <w:t xml:space="preserve">do osiągnięcia </w:t>
            </w:r>
            <w:r>
              <w:rPr>
                <w:rFonts w:ascii="Times New Roman" w:hAnsi="Times New Roman"/>
                <w:b/>
                <w:noProof/>
                <w:szCs w:val="20"/>
              </w:rPr>
              <w:t>globalnego porozumienia w sprawie tworzyw sztucznych</w:t>
            </w:r>
          </w:p>
        </w:tc>
        <w:tc>
          <w:tcPr>
            <w:tcW w:w="1276" w:type="dxa"/>
          </w:tcPr>
          <w:p w14:paraId="32CD996C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od 2020</w:t>
            </w:r>
          </w:p>
        </w:tc>
      </w:tr>
      <w:tr w:rsidR="00F8448B" w14:paraId="5A558BFB" w14:textId="77777777">
        <w:tc>
          <w:tcPr>
            <w:tcW w:w="7763" w:type="dxa"/>
          </w:tcPr>
          <w:p w14:paraId="178DB980" w14:textId="77777777" w:rsidR="00F8448B" w:rsidRDefault="00423A3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hAnsi="Times New Roman"/>
                <w:noProof/>
                <w:szCs w:val="20"/>
              </w:rPr>
              <w:t>Zaproponowanie</w:t>
            </w:r>
            <w:r>
              <w:rPr>
                <w:rFonts w:ascii="Times New Roman" w:hAnsi="Times New Roman"/>
                <w:b/>
                <w:noProof/>
                <w:szCs w:val="20"/>
              </w:rPr>
              <w:t xml:space="preserve"> światowego sojuszu na rzecz gospodarki o obiegu zamkniętym</w:t>
            </w:r>
            <w:r>
              <w:rPr>
                <w:rFonts w:ascii="Times New Roman" w:hAnsi="Times New Roman"/>
                <w:noProof/>
                <w:szCs w:val="20"/>
              </w:rPr>
              <w:t xml:space="preserve"> oraz zapoczątkowanie dyskusji na temat </w:t>
            </w:r>
            <w:r>
              <w:rPr>
                <w:rFonts w:ascii="Times New Roman" w:hAnsi="Times New Roman"/>
                <w:b/>
                <w:noProof/>
                <w:szCs w:val="20"/>
              </w:rPr>
              <w:t xml:space="preserve">międzynarodowego porozumienia w sprawie </w:t>
            </w:r>
            <w:r>
              <w:rPr>
                <w:rFonts w:ascii="Times New Roman" w:hAnsi="Times New Roman"/>
                <w:b/>
                <w:noProof/>
                <w:szCs w:val="20"/>
              </w:rPr>
              <w:t>gospodarowania zasobami naturalnymi</w:t>
            </w:r>
          </w:p>
        </w:tc>
        <w:tc>
          <w:tcPr>
            <w:tcW w:w="1276" w:type="dxa"/>
          </w:tcPr>
          <w:p w14:paraId="33122656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od 2021</w:t>
            </w:r>
          </w:p>
        </w:tc>
      </w:tr>
      <w:tr w:rsidR="00F8448B" w14:paraId="34641D72" w14:textId="77777777">
        <w:tc>
          <w:tcPr>
            <w:tcW w:w="7763" w:type="dxa"/>
          </w:tcPr>
          <w:p w14:paraId="1EE7F4C0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Cs w:val="20"/>
              </w:rPr>
              <w:t xml:space="preserve">Uwzględnianie celów gospodarki o obiegu zamkniętym w </w:t>
            </w:r>
            <w:r>
              <w:rPr>
                <w:rFonts w:ascii="Times New Roman" w:hAnsi="Times New Roman"/>
                <w:b/>
                <w:noProof/>
                <w:szCs w:val="20"/>
              </w:rPr>
              <w:t>umowach o wolnym handlu</w:t>
            </w:r>
            <w:r>
              <w:rPr>
                <w:rFonts w:ascii="Times New Roman" w:hAnsi="Times New Roman"/>
                <w:noProof/>
                <w:szCs w:val="20"/>
              </w:rPr>
              <w:t xml:space="preserve">, w innych procesach i porozumieniach na </w:t>
            </w:r>
            <w:r>
              <w:rPr>
                <w:rFonts w:ascii="Times New Roman" w:hAnsi="Times New Roman"/>
                <w:b/>
                <w:noProof/>
                <w:szCs w:val="20"/>
              </w:rPr>
              <w:t>poziomie dwustronnym, regionalnym i wielostronnym</w:t>
            </w:r>
            <w:r>
              <w:rPr>
                <w:rFonts w:ascii="Times New Roman" w:hAnsi="Times New Roman"/>
                <w:noProof/>
                <w:szCs w:val="20"/>
              </w:rPr>
              <w:t xml:space="preserve"> oraz w </w:t>
            </w:r>
            <w:r>
              <w:rPr>
                <w:rFonts w:ascii="Times New Roman" w:hAnsi="Times New Roman"/>
                <w:b/>
                <w:noProof/>
              </w:rPr>
              <w:t xml:space="preserve">instrumentach </w:t>
            </w:r>
            <w:r>
              <w:rPr>
                <w:rFonts w:ascii="Times New Roman" w:hAnsi="Times New Roman"/>
                <w:b/>
                <w:noProof/>
              </w:rPr>
              <w:t>finansowania polityki zewnętrznej UE</w:t>
            </w:r>
          </w:p>
        </w:tc>
        <w:tc>
          <w:tcPr>
            <w:tcW w:w="1276" w:type="dxa"/>
          </w:tcPr>
          <w:p w14:paraId="43A5380D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od 2020</w:t>
            </w:r>
          </w:p>
        </w:tc>
      </w:tr>
      <w:tr w:rsidR="00F8448B" w14:paraId="12C24654" w14:textId="77777777">
        <w:tc>
          <w:tcPr>
            <w:tcW w:w="9039" w:type="dxa"/>
            <w:gridSpan w:val="2"/>
            <w:shd w:val="clear" w:color="auto" w:fill="D9D9D9" w:themeFill="background1" w:themeFillShade="D9"/>
          </w:tcPr>
          <w:p w14:paraId="7FCA6644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MONITOROWANIE POSTĘPÓW</w:t>
            </w:r>
          </w:p>
        </w:tc>
      </w:tr>
      <w:tr w:rsidR="00F8448B" w14:paraId="51658DFC" w14:textId="77777777">
        <w:tc>
          <w:tcPr>
            <w:tcW w:w="7763" w:type="dxa"/>
          </w:tcPr>
          <w:p w14:paraId="4210AF4D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Aktualizacja </w:t>
            </w:r>
            <w:r>
              <w:rPr>
                <w:rFonts w:ascii="Times New Roman" w:hAnsi="Times New Roman"/>
                <w:b/>
                <w:noProof/>
              </w:rPr>
              <w:t>ram monitorowania gospodarki o obiegu zamkniętym</w:t>
            </w:r>
            <w:r>
              <w:rPr>
                <w:rFonts w:ascii="Times New Roman" w:hAnsi="Times New Roman"/>
                <w:noProof/>
              </w:rPr>
              <w:t xml:space="preserve"> w celu uwzględnienia nowych priorytetów politycznych oraz opracowania kolejnych </w:t>
            </w:r>
            <w:r>
              <w:rPr>
                <w:rFonts w:ascii="Times New Roman" w:hAnsi="Times New Roman"/>
                <w:b/>
                <w:noProof/>
              </w:rPr>
              <w:t>wskaźników dotyczących wykorzystania zasobów</w:t>
            </w:r>
            <w:r>
              <w:rPr>
                <w:rFonts w:ascii="Times New Roman" w:hAnsi="Times New Roman"/>
                <w:noProof/>
              </w:rPr>
              <w:t xml:space="preserve">, w tym </w:t>
            </w:r>
            <w:r>
              <w:rPr>
                <w:rFonts w:ascii="Times New Roman" w:hAnsi="Times New Roman"/>
                <w:b/>
                <w:noProof/>
              </w:rPr>
              <w:t>śladu konsumpcyjnego i materiałowego</w:t>
            </w:r>
          </w:p>
        </w:tc>
        <w:tc>
          <w:tcPr>
            <w:tcW w:w="1276" w:type="dxa"/>
          </w:tcPr>
          <w:p w14:paraId="1521EBF3" w14:textId="77777777" w:rsidR="00F8448B" w:rsidRDefault="00423A39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</w:tr>
    </w:tbl>
    <w:p w14:paraId="4004EC0A" w14:textId="77777777" w:rsidR="00F8448B" w:rsidRDefault="00F8448B">
      <w:pPr>
        <w:jc w:val="both"/>
        <w:rPr>
          <w:noProof/>
        </w:rPr>
      </w:pPr>
    </w:p>
    <w:sectPr w:rsidR="00F8448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020" w:right="1701" w:bottom="1020" w:left="1587" w:header="601" w:footer="107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BE907" w14:textId="77777777" w:rsidR="00423A39" w:rsidRDefault="00423A39">
      <w:pPr>
        <w:spacing w:after="0" w:line="240" w:lineRule="auto"/>
      </w:pPr>
      <w:r>
        <w:separator/>
      </w:r>
    </w:p>
  </w:endnote>
  <w:endnote w:type="continuationSeparator" w:id="0">
    <w:p w14:paraId="410769DC" w14:textId="77777777" w:rsidR="00423A39" w:rsidRDefault="00423A39">
      <w:pPr>
        <w:spacing w:after="0" w:line="240" w:lineRule="auto"/>
      </w:pPr>
      <w:r>
        <w:continuationSeparator/>
      </w:r>
    </w:p>
  </w:endnote>
  <w:endnote w:type="continuationNotice" w:id="1">
    <w:p w14:paraId="26CF4124" w14:textId="77777777" w:rsidR="00423A39" w:rsidRDefault="00423A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FA8EE" w14:textId="77777777" w:rsidR="00F8448B" w:rsidRDefault="00F844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735A1" w14:textId="77777777" w:rsidR="00F8448B" w:rsidRDefault="00423A39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proofErr w:type="spellStart"/>
    <w:r>
      <w:rPr>
        <w:rFonts w:ascii="Arial" w:hAnsi="Arial" w:cs="Arial"/>
        <w:b/>
        <w:sz w:val="48"/>
      </w:rPr>
      <w:t>PL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B20AE" w14:textId="77777777" w:rsidR="00F8448B" w:rsidRDefault="00F8448B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E4BEC" w14:textId="77777777" w:rsidR="00F8448B" w:rsidRDefault="00F8448B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631B" w14:textId="77777777" w:rsidR="00F8448B" w:rsidRDefault="00423A39">
    <w:pPr>
      <w:pStyle w:val="Stopka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>
      <w:rPr>
        <w:caps/>
        <w:color w:val="000000" w:themeColor="text1"/>
      </w:rPr>
      <w:fldChar w:fldCharType="begin"/>
    </w:r>
    <w:r>
      <w:rPr>
        <w:caps/>
        <w:color w:val="000000" w:themeColor="text1"/>
      </w:rPr>
      <w:instrText xml:space="preserve"> PAGE   \* MERGEFORMAT </w:instrText>
    </w:r>
    <w:r>
      <w:rPr>
        <w:caps/>
        <w:color w:val="000000" w:themeColor="text1"/>
      </w:rPr>
      <w:fldChar w:fldCharType="separate"/>
    </w:r>
    <w:r>
      <w:rPr>
        <w:caps/>
        <w:noProof/>
        <w:color w:val="000000" w:themeColor="text1"/>
      </w:rPr>
      <w:t>3</w:t>
    </w:r>
    <w:r>
      <w:rPr>
        <w:caps/>
        <w:color w:val="000000" w:themeColor="text1"/>
      </w:rPr>
      <w:fldChar w:fldCharType="end"/>
    </w:r>
  </w:p>
  <w:p w14:paraId="026FB577" w14:textId="77777777" w:rsidR="00F8448B" w:rsidRDefault="00F8448B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8922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ABFBC" w14:textId="77777777" w:rsidR="00F8448B" w:rsidRDefault="00423A3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30A5042" w14:textId="77777777" w:rsidR="00F8448B" w:rsidRDefault="00F84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093B4" w14:textId="77777777" w:rsidR="00423A39" w:rsidRDefault="00423A39">
      <w:pPr>
        <w:spacing w:after="0" w:line="240" w:lineRule="auto"/>
      </w:pPr>
      <w:r>
        <w:separator/>
      </w:r>
    </w:p>
  </w:footnote>
  <w:footnote w:type="continuationSeparator" w:id="0">
    <w:p w14:paraId="66F2A12F" w14:textId="77777777" w:rsidR="00423A39" w:rsidRDefault="00423A39">
      <w:pPr>
        <w:spacing w:after="0" w:line="240" w:lineRule="auto"/>
      </w:pPr>
      <w:r>
        <w:continuationSeparator/>
      </w:r>
    </w:p>
  </w:footnote>
  <w:footnote w:type="continuationNotice" w:id="1">
    <w:p w14:paraId="79D5BD38" w14:textId="77777777" w:rsidR="00423A39" w:rsidRDefault="00423A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CD756" w14:textId="77777777" w:rsidR="00F8448B" w:rsidRDefault="00F844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625AC" w14:textId="77777777" w:rsidR="00F8448B" w:rsidRDefault="00F8448B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9866E" w14:textId="77777777" w:rsidR="00F8448B" w:rsidRDefault="00F8448B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21980" w14:textId="77777777" w:rsidR="00F8448B" w:rsidRDefault="00F8448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E9F4E" w14:textId="77777777" w:rsidR="00F8448B" w:rsidRDefault="00F8448B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F12C4" w14:textId="77777777" w:rsidR="00F8448B" w:rsidRDefault="00F844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C31AE"/>
    <w:multiLevelType w:val="hybridMultilevel"/>
    <w:tmpl w:val="C7AE0E3A"/>
    <w:lvl w:ilvl="0" w:tplc="5062306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14800"/>
    <w:multiLevelType w:val="hybridMultilevel"/>
    <w:tmpl w:val="666A540C"/>
    <w:lvl w:ilvl="0" w:tplc="60C83E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160A1"/>
    <w:multiLevelType w:val="hybridMultilevel"/>
    <w:tmpl w:val="E4E6F362"/>
    <w:lvl w:ilvl="0" w:tplc="51F81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5145E"/>
    <w:multiLevelType w:val="multilevel"/>
    <w:tmpl w:val="B1048310"/>
    <w:name w:val="EurolookHeading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</w:lvl>
    <w:lvl w:ilvl="1">
      <w:start w:val="1"/>
      <w:numFmt w:val="decimal"/>
      <w:lvlText w:val="%1.%2."/>
      <w:lvlJc w:val="left"/>
      <w:pPr>
        <w:tabs>
          <w:tab w:val="num" w:pos="5682"/>
        </w:tabs>
        <w:ind w:left="5682" w:hanging="720"/>
      </w:pPr>
    </w:lvl>
    <w:lvl w:ilvl="2">
      <w:start w:val="1"/>
      <w:numFmt w:val="decimal"/>
      <w:lvlText w:val="%1.%2.%3."/>
      <w:lvlJc w:val="left"/>
      <w:pPr>
        <w:tabs>
          <w:tab w:val="num" w:pos="1922"/>
        </w:tabs>
        <w:ind w:left="1922" w:hanging="720"/>
      </w:p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922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3838" w:hanging="958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838" w:hanging="958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838" w:hanging="958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3838" w:hanging="958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3838" w:hanging="958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Status" w:val="Green"/>
    <w:docVar w:name="LW_ACCOMPAGNANT.CP" w:val="do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1CE0D739-2114-4314-AD64-1DCF1A3B71B8"/>
    <w:docVar w:name="LW_COVERPAGE_TYPE" w:val="1"/>
    <w:docVar w:name="LW_CROSSREFERENCE" w:val="&lt;UNUSED&gt;"/>
    <w:docVar w:name="LW_DocType" w:val="NORMAL"/>
    <w:docVar w:name="LW_EMISSION" w:val="11.3.2020"/>
    <w:docVar w:name="LW_EMISSION_ISODATE" w:val="2020-03-11"/>
    <w:docVar w:name="LW_EMISSION_LOCATION" w:val="BRX"/>
    <w:docVar w:name="LW_EMISSION_PREFIX" w:val="Bruksela, dnia "/>
    <w:docVar w:name="LW_EMISSION_SUFFIX" w:val=" r."/>
    <w:docVar w:name="LW_ID_DOCTYPE_NONLW" w:val="CP-039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.CP" w:val="&lt;FMT:Bold&gt;Nowy plan dzia\u322?ania UE dotycz\u261?cy gospodarki o obiegu zamkni\u281?tym&lt;/FMT&gt;_x000d__x000d__x000d__x000b__x000d__x000d__x000d__x000b_&lt;FMT:Bold&gt;na rzecz czystszej i bardziej konkurencyjnej Europy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9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ZA\u321?\u260?CZNIK_x000b_"/>
    <w:docVar w:name="LW_TYPEACTEPRINCIPAL.CP" w:val="KOMUNIKATU KOMISJI DO PARLAMENTU EUROPEJSKIEGO, RADY, EUROPEJSKIEGO KOMITETU EKONOMICZNO-SPO\u321?ECZNEGO I KOMITETU REGIONÓW_x000b_"/>
  </w:docVars>
  <w:rsids>
    <w:rsidRoot w:val="00F8448B"/>
    <w:rsid w:val="00423A39"/>
    <w:rsid w:val="00846EF4"/>
    <w:rsid w:val="00C324C4"/>
    <w:rsid w:val="00F8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99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0" w:unhideWhenUsed="1" w:qFormat="1"/>
    <w:lsdException w:name="heading 4" w:semiHidden="1" w:uiPriority="9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num" w:pos="482"/>
      </w:tabs>
      <w:spacing w:before="240" w:after="240" w:line="240" w:lineRule="auto"/>
      <w:ind w:left="482" w:hanging="482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eastAsia="en-IE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num" w:pos="709"/>
      </w:tabs>
      <w:spacing w:after="24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en-IE"/>
    </w:rPr>
  </w:style>
  <w:style w:type="paragraph" w:styleId="Nagwek3">
    <w:name w:val="heading 3"/>
    <w:basedOn w:val="Normalny"/>
    <w:next w:val="Normalny"/>
    <w:link w:val="Nagwek3Znak"/>
    <w:uiPriority w:val="90"/>
    <w:qFormat/>
    <w:pPr>
      <w:keepNext/>
      <w:tabs>
        <w:tab w:val="num" w:pos="1922"/>
      </w:tabs>
      <w:spacing w:after="240" w:line="240" w:lineRule="auto"/>
      <w:ind w:left="1922" w:hanging="720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en-IE"/>
    </w:rPr>
  </w:style>
  <w:style w:type="paragraph" w:styleId="Nagwek4">
    <w:name w:val="heading 4"/>
    <w:basedOn w:val="Normalny"/>
    <w:next w:val="Normalny"/>
    <w:link w:val="Nagwek4Znak"/>
    <w:uiPriority w:val="90"/>
    <w:qFormat/>
    <w:pPr>
      <w:keepNext/>
      <w:tabs>
        <w:tab w:val="num" w:pos="1922"/>
      </w:tabs>
      <w:spacing w:after="240" w:line="240" w:lineRule="auto"/>
      <w:ind w:left="1922" w:hanging="720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Nagwek5">
    <w:name w:val="heading 5"/>
    <w:basedOn w:val="Normalny"/>
    <w:next w:val="Normalny"/>
    <w:link w:val="Nagwek5Znak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Nagwek6">
    <w:name w:val="heading 6"/>
    <w:basedOn w:val="Normalny"/>
    <w:next w:val="Normalny"/>
    <w:link w:val="Nagwek6Znak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Nagwek7">
    <w:name w:val="heading 7"/>
    <w:basedOn w:val="Normalny"/>
    <w:next w:val="Normalny"/>
    <w:link w:val="Nagwek7Znak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Nagwek8">
    <w:name w:val="heading 8"/>
    <w:basedOn w:val="Normalny"/>
    <w:next w:val="Normalny"/>
    <w:link w:val="Nagwek8Znak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Nagwek9">
    <w:name w:val="heading 9"/>
    <w:basedOn w:val="Normalny"/>
    <w:next w:val="Normalny"/>
    <w:link w:val="Nagwek9Znak"/>
    <w:semiHidden/>
    <w:pPr>
      <w:keepNext/>
      <w:tabs>
        <w:tab w:val="num" w:pos="2880"/>
      </w:tabs>
      <w:spacing w:after="240" w:line="240" w:lineRule="auto"/>
      <w:ind w:left="3838" w:hanging="958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r">
    <w:name w:val="Marker"/>
    <w:basedOn w:val="Domylnaczcionkaakapitu"/>
    <w:rPr>
      <w:color w:val="0000FF"/>
      <w:shd w:val="clear" w:color="auto" w:fill="auto"/>
    </w:rPr>
  </w:style>
  <w:style w:type="paragraph" w:customStyle="1" w:styleId="Pagedecouverture">
    <w:name w:val="Page de couverture"/>
    <w:basedOn w:val="Normalny"/>
    <w:next w:val="Normalny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FooterCoverPage">
    <w:name w:val="Footer Cover Page"/>
    <w:basedOn w:val="Normalny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omylnaczcionkaakapitu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ny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omylnaczcionkaakapitu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ny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omylnaczcionkaakapitu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ny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omylnaczcionkaakapitu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ny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omylnaczcionkaakapitu"/>
    <w:link w:val="HeaderSensitivityRight"/>
    <w:rPr>
      <w:rFonts w:ascii="Times New Roman" w:hAnsi="Times New Roman" w:cs="Times New Roman"/>
      <w:sz w:val="28"/>
    </w:rPr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b/>
      <w:smallCaps/>
      <w:sz w:val="24"/>
      <w:szCs w:val="20"/>
      <w:lang w:eastAsia="en-IE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Times New Roman" w:hAnsi="Times New Roman" w:cs="Times New Roman"/>
      <w:b/>
      <w:sz w:val="24"/>
      <w:szCs w:val="20"/>
      <w:lang w:eastAsia="en-IE"/>
    </w:rPr>
  </w:style>
  <w:style w:type="character" w:customStyle="1" w:styleId="Nagwek3Znak">
    <w:name w:val="Nagłówek 3 Znak"/>
    <w:basedOn w:val="Domylnaczcionkaakapitu"/>
    <w:link w:val="Nagwek3"/>
    <w:uiPriority w:val="90"/>
    <w:rPr>
      <w:rFonts w:ascii="Times New Roman" w:eastAsia="Times New Roman" w:hAnsi="Times New Roman" w:cs="Times New Roman"/>
      <w:i/>
      <w:sz w:val="24"/>
      <w:szCs w:val="20"/>
      <w:lang w:eastAsia="en-IE"/>
    </w:rPr>
  </w:style>
  <w:style w:type="character" w:customStyle="1" w:styleId="Nagwek4Znak">
    <w:name w:val="Nagłówek 4 Znak"/>
    <w:basedOn w:val="Domylnaczcionkaakapitu"/>
    <w:link w:val="Nagwek4"/>
    <w:uiPriority w:val="90"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Nagwek5Znak">
    <w:name w:val="Nagłówek 5 Znak"/>
    <w:basedOn w:val="Domylnaczcionkaakapitu"/>
    <w:link w:val="Nagwek5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Nagwek6Znak">
    <w:name w:val="Nagłówek 6 Znak"/>
    <w:basedOn w:val="Domylnaczcionkaakapitu"/>
    <w:link w:val="Nagwek6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Nagwek7Znak">
    <w:name w:val="Nagłówek 7 Znak"/>
    <w:basedOn w:val="Domylnaczcionkaakapitu"/>
    <w:link w:val="Nagwek7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Nagwek8Znak">
    <w:name w:val="Nagłówek 8 Znak"/>
    <w:basedOn w:val="Domylnaczcionkaakapitu"/>
    <w:link w:val="Nagwek8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customStyle="1" w:styleId="Nagwek9Znak">
    <w:name w:val="Nagłówek 9 Znak"/>
    <w:basedOn w:val="Domylnaczcionkaakapitu"/>
    <w:link w:val="Nagwek9"/>
    <w:semiHidden/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customStyle="1" w:styleId="FooterLine">
    <w:name w:val="Footer Line"/>
    <w:basedOn w:val="Stopka"/>
    <w:next w:val="Stopka"/>
    <w:uiPriority w:val="99"/>
    <w:pPr>
      <w:tabs>
        <w:tab w:val="clear" w:pos="4680"/>
        <w:tab w:val="clear" w:pos="9360"/>
        <w:tab w:val="right" w:pos="8646"/>
      </w:tabs>
      <w:spacing w:before="120" w:line="264" w:lineRule="auto"/>
      <w:jc w:val="both"/>
    </w:pPr>
    <w:rPr>
      <w:rFonts w:ascii="Times New Roman" w:eastAsia="Times New Roman" w:hAnsi="Times New Roman" w:cs="Times New Roman"/>
      <w:sz w:val="16"/>
      <w:szCs w:val="20"/>
      <w:lang w:eastAsia="en-IE"/>
    </w:rPr>
  </w:style>
  <w:style w:type="paragraph" w:styleId="Tekstprzypisudolnego">
    <w:name w:val="footnote text"/>
    <w:aliases w:val="Footnote text,Reference,Fußnote,Footnote Text Char Char,Footnote Text Char Char Char Char,Footnote Text1,Footnote Text Char Char Char,Fu§notentext Char,Fu§notentext Char1 Char1,Fu§notentext Char Char Char Char,o,fn,Fußn,f"/>
    <w:basedOn w:val="Normalny"/>
    <w:link w:val="TekstprzypisudolnegoZnak"/>
    <w:uiPriority w:val="99"/>
    <w:qFormat/>
    <w:pPr>
      <w:spacing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IE"/>
    </w:rPr>
  </w:style>
  <w:style w:type="character" w:customStyle="1" w:styleId="TekstprzypisudolnegoZnak">
    <w:name w:val="Tekst przypisu dolnego Znak"/>
    <w:aliases w:val="Footnote text Znak,Reference Znak,Fußnote Znak,Footnote Text Char Char Znak,Footnote Text Char Char Char Char Znak,Footnote Text1 Znak,Footnote Text Char Char Char Znak,Fu§notentext Char Znak,Fu§notentext Char1 Char1 Znak"/>
    <w:basedOn w:val="Domylnaczcionkaakapitu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en-IE"/>
    </w:rPr>
  </w:style>
  <w:style w:type="character" w:styleId="Odwoanieprzypisudolnego">
    <w:name w:val="footnote reference"/>
    <w:aliases w:val="Footnote Reference Superscript,BVI fnr, BVI fnr,Footnote symbol,Footnote reference number,note TESI,Appel note de bas de p,Nota,SUPERS,Footnote number,EN Footnote Reference,-E Fußnotenzeichen,number Char Char,number,Ref,styl"/>
    <w:link w:val="SUPERSCharCharCharCharCharCharCharChar"/>
    <w:uiPriority w:val="99"/>
    <w:qFormat/>
    <w:rPr>
      <w:vertAlign w:val="superscript"/>
    </w:rPr>
  </w:style>
  <w:style w:type="paragraph" w:customStyle="1" w:styleId="SUPERSCharCharCharCharCharCharCharChar">
    <w:name w:val="SUPERS Char Char Char Char Char Char Char Char"/>
    <w:aliases w:val="SUPERS Tegn Char Char Char Char Char Char Char Char Char,Footnote Reference Number Tegn Char Char Char Char Char Char Char Char Char"/>
    <w:basedOn w:val="Normalny"/>
    <w:link w:val="Odwoanieprzypisudolnego"/>
    <w:uiPriority w:val="99"/>
    <w:pPr>
      <w:spacing w:after="160" w:line="240" w:lineRule="exact"/>
      <w:jc w:val="both"/>
    </w:pPr>
    <w:rPr>
      <w:vertAlign w:val="superscript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paragraph" w:customStyle="1" w:styleId="Disclaimer">
    <w:name w:val="Disclaimer"/>
    <w:basedOn w:val="Normalny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ecurityMarking">
    <w:name w:val="SecurityMarking"/>
    <w:basedOn w:val="Normalny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ny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ny"/>
    <w:pPr>
      <w:spacing w:after="0"/>
      <w:ind w:left="5103"/>
    </w:pPr>
    <w:rPr>
      <w:rFonts w:ascii="Times New Roman" w:hAnsi="Times New Roman" w:cs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8D8106745EEB6B4EAF3B389F7A2713CD" ma:contentTypeVersion="1" ma:contentTypeDescription="Create a new document in this library." ma:contentTypeScope="" ma:versionID="5f070f0e7c33d3b82c58f1deb22126b2">
  <xsd:schema xmlns:xsd="http://www.w3.org/2001/XMLSchema" xmlns:xs="http://www.w3.org/2001/XMLSchema" xmlns:p="http://schemas.microsoft.com/office/2006/metadata/properties" xmlns:ns2="http://schemas.microsoft.com/sharepoint/v3/fields" xmlns:ns3="96dba3ed-e748-4931-b51f-f9b064bfc02e" targetNamespace="http://schemas.microsoft.com/office/2006/metadata/properties" ma:root="true" ma:fieldsID="da4f2777a13e0ba1b47d377874b9d16c" ns2:_="" ns3:_="">
    <xsd:import namespace="http://schemas.microsoft.com/sharepoint/v3/fields"/>
    <xsd:import namespace="96dba3ed-e748-4931-b51f-f9b064bfc02e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3:Type_x0020_of_x0020_docu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ba3ed-e748-4931-b51f-f9b064bfc02e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Type_x0020_of_x0020_document" ma:index="16" ma:displayName="Type of document" ma:default="Cross-DG process" ma:format="Dropdown" ma:internalName="Type_x0020_of_x0020_document">
      <xsd:simpleType>
        <xsd:restriction base="dms:Choice">
          <xsd:enumeration value="Cross-DG process"/>
          <xsd:enumeration value="GROW-ENV coordination"/>
          <xsd:enumeration value="Early drafts and lists of actions"/>
          <xsd:enumeration value="Roadmap and public consultation"/>
          <xsd:enumeration value="Early contributions ENV/GROW"/>
          <xsd:enumeration value="Consolidated ENV/GROW drafts and lists of actions"/>
          <xsd:enumeration value="Formal DG con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96dba3ed-e748-4931-b51f-f9b064bfc02e"/>
    <Type_x0020_of_x0020_document xmlns="96dba3ed-e748-4931-b51f-f9b064bfc02e"/>
    <_Status xmlns="http://schemas.microsoft.com/sharepoint/v3/fields" xsi:nil="true"/>
    <EC_Collab_DocumentLanguage xmlns="96dba3ed-e748-4931-b51f-f9b064bfc02e"/>
    <EC_Collab_Reference xmlns="96dba3ed-e748-4931-b51f-f9b064bfc02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439032C-9318-4A1E-AAB4-25F199A75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96dba3ed-e748-4931-b51f-f9b064bfc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8A262-ABE6-4090-A3CB-6B48051AC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D34B3-1E51-4DBE-B71A-A10E1D61E749}">
  <ds:schemaRefs>
    <ds:schemaRef ds:uri="http://schemas.microsoft.com/office/2006/metadata/properties"/>
    <ds:schemaRef ds:uri="http://schemas.microsoft.com/office/infopath/2007/PartnerControls"/>
    <ds:schemaRef ds:uri="96dba3ed-e748-4931-b51f-f9b064bfc02e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4BEE1D0-3E23-43A5-A149-1A7257E0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2020-05-11T16:31:00Z</dcterms:created>
  <dcterms:modified xsi:type="dcterms:W3CDTF">2020-05-11T16:31:00Z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Level of sensitivity">
    <vt:lpwstr>Standard treatment</vt:lpwstr>
  </property>
  <property fmtid="{D5CDD505-2E9C-101B-9397-08002B2CF9AE}" pid="4" name="Last edited using">
    <vt:lpwstr>LW 7.0, Build 20190717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CPTemplateID">
    <vt:lpwstr>CP-039</vt:lpwstr>
  </property>
  <property fmtid="{D5CDD505-2E9C-101B-9397-08002B2CF9AE}" pid="11" name="_LW_INVALIDATED__LW_INVALIDATED__LW_INVALIDATED__LW_INVALIDATED__LW_INVALIDATED_ContentTypeId">
    <vt:lpwstr>0x010100258AA79CEB83498886A3A08681123250008D8106745EEB6B4EAF3B389F7A2713CD</vt:lpwstr>
  </property>
</Properties>
</file>