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B3F30" w14:textId="77777777" w:rsidR="006E21F2" w:rsidRDefault="006A4908">
      <w:pPr>
        <w:pStyle w:val="Pagedecouverture"/>
        <w:rPr>
          <w:noProof/>
        </w:rPr>
      </w:pPr>
      <w:bookmarkStart w:id="0" w:name="LW_BM_COVERPAGE"/>
      <w:r>
        <w:rPr>
          <w:noProof/>
        </w:rPr>
        <w:pict w14:anchorId="40E70E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0EAC39A86B12450E9C388C52D97284B9" style="width:449.5pt;height:380pt">
            <v:imagedata r:id="rId7" o:title=""/>
          </v:shape>
        </w:pict>
      </w:r>
    </w:p>
    <w:bookmarkEnd w:id="0"/>
    <w:p w14:paraId="4B23F206" w14:textId="77777777" w:rsidR="006E21F2" w:rsidRDefault="006E21F2">
      <w:pPr>
        <w:rPr>
          <w:noProof/>
        </w:rPr>
        <w:sectPr w:rsidR="006E21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14:paraId="3D08A500" w14:textId="77777777" w:rsidR="006E21F2" w:rsidRDefault="00E077F5">
      <w:pPr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lastRenderedPageBreak/>
        <w:t xml:space="preserve">Środki przedstawione w niniejszym planie działania muszą być realizowane zgodnie z zasadami lepszego stanowienia prawa, w tym, w stosownych </w:t>
      </w:r>
      <w:r>
        <w:rPr>
          <w:rFonts w:ascii="Times New Roman" w:hAnsi="Times New Roman"/>
          <w:i/>
          <w:noProof/>
          <w:sz w:val="24"/>
        </w:rPr>
        <w:t>przypadkach, z uwzględnieniem oceny wpływu.</w:t>
      </w: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7560"/>
        <w:gridCol w:w="1622"/>
      </w:tblGrid>
      <w:tr w:rsidR="006E21F2" w14:paraId="4D52781D" w14:textId="77777777">
        <w:trPr>
          <w:trHeight w:val="436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EBC2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Działania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052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Harmonogram</w:t>
            </w:r>
          </w:p>
        </w:tc>
      </w:tr>
      <w:tr w:rsidR="006E21F2" w14:paraId="1CDF84E8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6C20E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Produkcja</w:t>
            </w:r>
          </w:p>
        </w:tc>
      </w:tr>
      <w:tr w:rsidR="006E21F2" w14:paraId="64A52F01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687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Nacisk na aspekty związane z gospodarką o obiegu zamkniętym w przyszłych </w:t>
            </w:r>
            <w:r>
              <w:rPr>
                <w:rFonts w:ascii="Times New Roman" w:hAnsi="Times New Roman"/>
                <w:b/>
                <w:noProof/>
              </w:rPr>
              <w:t>wymogach wynikających z dyrektywy w sprawie ekoprojektu</w:t>
            </w:r>
            <w:r>
              <w:rPr>
                <w:rFonts w:ascii="Times New Roman" w:hAnsi="Times New Roman"/>
                <w:noProof/>
              </w:rPr>
              <w:t xml:space="preserve">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648D7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1B9CAFBA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1D7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Plan działań w </w:t>
            </w:r>
            <w:r>
              <w:rPr>
                <w:rFonts w:ascii="Times New Roman" w:hAnsi="Times New Roman"/>
                <w:b/>
                <w:noProof/>
              </w:rPr>
              <w:t>dziedzinie ekoprojektu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na lata 2015 – 2017 oraz </w:t>
            </w:r>
            <w:r>
              <w:rPr>
                <w:rFonts w:ascii="Times New Roman" w:hAnsi="Times New Roman"/>
                <w:b/>
                <w:noProof/>
              </w:rPr>
              <w:t>zwrócenie się do europejskich organizacji normalizacyjnych</w:t>
            </w:r>
            <w:r>
              <w:rPr>
                <w:rFonts w:ascii="Times New Roman" w:hAnsi="Times New Roman"/>
                <w:noProof/>
              </w:rPr>
              <w:t xml:space="preserve"> o opracowanie norm dotyczących efektywnego wykorzystania materiałów w celu określenia przyszłych wymogów dotyczących ekoprojektu w zakresie trwałości, możliwości naprawy i recyklingu produktów</w:t>
            </w:r>
            <w:r>
              <w:rPr>
                <w:noProof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C51D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Grudzień 2015 r.</w:t>
            </w:r>
          </w:p>
        </w:tc>
      </w:tr>
      <w:tr w:rsidR="006E21F2" w14:paraId="7FEEBA53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E2765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Wniosek w sprawie </w:t>
            </w:r>
            <w:r>
              <w:rPr>
                <w:rFonts w:ascii="Times New Roman" w:hAnsi="Times New Roman"/>
                <w:b/>
                <w:noProof/>
              </w:rPr>
              <w:t>rozporządzenia wykonawcze</w:t>
            </w:r>
            <w:r>
              <w:rPr>
                <w:rFonts w:ascii="Times New Roman" w:hAnsi="Times New Roman"/>
                <w:b/>
                <w:noProof/>
              </w:rPr>
              <w:t>go</w:t>
            </w:r>
            <w:r>
              <w:rPr>
                <w:rFonts w:ascii="Times New Roman" w:hAnsi="Times New Roman"/>
                <w:noProof/>
              </w:rPr>
              <w:t xml:space="preserve"> dotyczącego telewizorów i monitorów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29B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Koniec 2015 r. lub początek 2016 r.</w:t>
            </w:r>
          </w:p>
        </w:tc>
      </w:tr>
      <w:tr w:rsidR="006E21F2" w14:paraId="3D07FC31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FD9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Analiza wariantów i działań pod kątem ich wkładu w gospodarkę o obiegu zamkniętym, aby nadać bardziej spójne ramy polityczne różnym obszarom prac w trakcie tworzenia unijnej polit</w:t>
            </w:r>
            <w:r>
              <w:rPr>
                <w:rFonts w:ascii="Times New Roman" w:hAnsi="Times New Roman"/>
                <w:noProof/>
              </w:rPr>
              <w:t>yki produktu.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23715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6E21F2" w14:paraId="1FC6149C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2BC4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Włączenie wytycznych dotyczących gospodarki o obiegu zamkniętym do dokumentów referencyjnych dotyczących </w:t>
            </w:r>
            <w:r>
              <w:rPr>
                <w:rFonts w:ascii="Times New Roman" w:hAnsi="Times New Roman"/>
                <w:b/>
                <w:noProof/>
              </w:rPr>
              <w:t>najlepszych dostępnych technik (BREF)</w:t>
            </w:r>
            <w:r>
              <w:rPr>
                <w:rFonts w:ascii="Times New Roman" w:hAnsi="Times New Roman"/>
                <w:noProof/>
              </w:rPr>
              <w:t xml:space="preserve"> w różnych sektorach przemysłu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E509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6C514184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6C2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Propagowanie wytycznych i najlepszych pr</w:t>
            </w:r>
            <w:r>
              <w:rPr>
                <w:rFonts w:ascii="Times New Roman" w:hAnsi="Times New Roman"/>
                <w:b/>
                <w:noProof/>
              </w:rPr>
              <w:t>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zakresie planów gospodarowania odpadami górniczymi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EF8F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6E21F2" w14:paraId="45A52013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B4A7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Stworzenie otwartej, </w:t>
            </w:r>
            <w:r>
              <w:rPr>
                <w:rFonts w:ascii="Times New Roman" w:hAnsi="Times New Roman"/>
                <w:b/>
                <w:noProof/>
              </w:rPr>
              <w:t>ogólnoeuropejskiej sieci infrastruktury technologicznej dla MŚP</w:t>
            </w:r>
            <w:r>
              <w:rPr>
                <w:rFonts w:ascii="Times New Roman" w:hAnsi="Times New Roman"/>
                <w:noProof/>
              </w:rPr>
              <w:t xml:space="preserve">, aby mogły one w swoich procesach produkcyjnych wykorzystywać zaawansowane technologie </w:t>
            </w:r>
            <w:r>
              <w:rPr>
                <w:rFonts w:ascii="Times New Roman" w:hAnsi="Times New Roman"/>
                <w:noProof/>
              </w:rPr>
              <w:t>produkcyjne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52F5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770DC7B5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571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Zbadanie, </w:t>
            </w:r>
            <w:r>
              <w:rPr>
                <w:rFonts w:ascii="Times New Roman" w:hAnsi="Times New Roman"/>
                <w:b/>
                <w:noProof/>
              </w:rPr>
              <w:t>w jaki sposób można poprawić skuteczność i stosowanie</w:t>
            </w:r>
            <w:r>
              <w:rPr>
                <w:rFonts w:ascii="Times New Roman" w:hAnsi="Times New Roman"/>
                <w:noProof/>
              </w:rPr>
              <w:t xml:space="preserve"> unijnego systemu ekozarządzania i audytu (EMAS) oraz uruchomienie pilotażowego programu weryfikacji technologii ochrony środowiska (EVT)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CD3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2B9CFF38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751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Ulepszenie  </w:t>
            </w:r>
            <w:r>
              <w:rPr>
                <w:rFonts w:ascii="Times New Roman" w:hAnsi="Times New Roman"/>
                <w:b/>
                <w:noProof/>
              </w:rPr>
              <w:t xml:space="preserve">bazy </w:t>
            </w:r>
            <w:r>
              <w:rPr>
                <w:rFonts w:ascii="Times New Roman" w:hAnsi="Times New Roman"/>
                <w:b/>
                <w:noProof/>
              </w:rPr>
              <w:t>wiedzy i wsparcia dla MŚP</w:t>
            </w:r>
            <w:r>
              <w:rPr>
                <w:rFonts w:ascii="Times New Roman" w:hAnsi="Times New Roman"/>
                <w:noProof/>
              </w:rPr>
              <w:t xml:space="preserve"> w zakresie zastępowania niebezpiecznych substancji stanowiących bardzo duże zagrożenie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F195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6E21F2" w14:paraId="56B6DCED" w14:textId="77777777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F7D98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6166E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 w:rsidR="006E21F2" w14:paraId="679A1F4D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04664E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Konsumpcja</w:t>
            </w:r>
          </w:p>
        </w:tc>
      </w:tr>
      <w:tr w:rsidR="006E21F2" w14:paraId="69A51879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FB2F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Lepsze egzekwowanie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istniejących gwarancji dotyczących produktów materialnych i </w:t>
            </w:r>
            <w:r>
              <w:rPr>
                <w:rFonts w:ascii="Times New Roman" w:hAnsi="Times New Roman"/>
                <w:b/>
                <w:noProof/>
              </w:rPr>
              <w:t>analiza możliwych sposobów poprawy</w:t>
            </w:r>
            <w:r>
              <w:rPr>
                <w:rFonts w:ascii="Times New Roman" w:hAnsi="Times New Roman"/>
                <w:noProof/>
              </w:rPr>
              <w:t xml:space="preserve"> sytuacji (przyszły wniosek Komisji w sprawie sprzedaży online towarów i kontroli sprawności przepisów w dziedzinie ochrony konsumentów)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0F64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2015–2017</w:t>
            </w:r>
          </w:p>
        </w:tc>
      </w:tr>
      <w:tr w:rsidR="006E21F2" w14:paraId="46907A7C" w14:textId="77777777">
        <w:trPr>
          <w:trHeight w:val="69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8BE8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Działania w odniesieniu do fałszywych twierdzeń dotyczących ekologiczności, w tym </w:t>
            </w:r>
            <w:r>
              <w:rPr>
                <w:rFonts w:ascii="Times New Roman" w:hAnsi="Times New Roman"/>
                <w:b/>
                <w:noProof/>
              </w:rPr>
              <w:t>aktualizacja wytycznych</w:t>
            </w:r>
            <w:r>
              <w:rPr>
                <w:rFonts w:ascii="Times New Roman" w:hAnsi="Times New Roman"/>
                <w:noProof/>
              </w:rPr>
              <w:t xml:space="preserve"> w sprawie nieuczciwych praktyk handlowych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1784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0BA7E8B1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CB7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Analiza możliwości opracowania horyzontalnych wymogów w zakresie dostarczania informacji </w:t>
            </w:r>
            <w:r>
              <w:rPr>
                <w:rFonts w:ascii="Times New Roman" w:hAnsi="Times New Roman"/>
                <w:noProof/>
              </w:rPr>
              <w:t>dotyczących naprawy w ramach ekoprojektu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4E3E7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6E21F2" w14:paraId="19BD14F8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684A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Działania w ramach programu </w:t>
            </w:r>
            <w:r>
              <w:rPr>
                <w:rFonts w:ascii="Times New Roman" w:hAnsi="Times New Roman"/>
                <w:b/>
                <w:noProof/>
              </w:rPr>
              <w:t>REFIT</w:t>
            </w:r>
            <w:r>
              <w:rPr>
                <w:rFonts w:ascii="Times New Roman" w:hAnsi="Times New Roman"/>
                <w:noProof/>
              </w:rPr>
              <w:t xml:space="preserve"> w odniesieniu do oznakowania ekologicznego, a następnie działania zmierzające do poprawy jego skuteczności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ABC0E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742968D3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A243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Ocena możliwości przeprowadzenia </w:t>
            </w:r>
            <w:r>
              <w:rPr>
                <w:rFonts w:ascii="Times New Roman" w:hAnsi="Times New Roman"/>
                <w:b/>
                <w:noProof/>
              </w:rPr>
              <w:t>niezależnego programu badań</w:t>
            </w:r>
            <w:r>
              <w:rPr>
                <w:rFonts w:ascii="Times New Roman" w:hAnsi="Times New Roman"/>
                <w:noProof/>
              </w:rPr>
              <w:t xml:space="preserve"> dotyczących celowego skracania cyklu życia produktów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B56B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2018 r.</w:t>
            </w:r>
          </w:p>
        </w:tc>
      </w:tr>
      <w:tr w:rsidR="006E21F2" w14:paraId="3BA0D9EB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68C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t xml:space="preserve">Z </w:t>
            </w:r>
            <w:r>
              <w:rPr>
                <w:rFonts w:ascii="Times New Roman" w:hAnsi="Times New Roman"/>
                <w:noProof/>
              </w:rPr>
              <w:t>zastrzeżeniem oceny obecnie trwających projektów pilotażowych – zbadanie możliwości zastosowania metody oznaczania śladu środowiskowego produktów do pomiaru i przekazywania informacji dotyczących środowiska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AFE0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146CA904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D1D5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Działania dotyczące zielonych</w:t>
            </w:r>
            <w:r>
              <w:rPr>
                <w:rFonts w:ascii="Times New Roman" w:hAnsi="Times New Roman"/>
                <w:noProof/>
              </w:rPr>
              <w:t xml:space="preserve"> zamówień publicznych: uwzględnianie w większym stopniu wymogów z zakresu gospodarki o obiegu zamkniętym, wspieranie ich stosowania, w tym za pomocą programów szkoleń oraz szersze ich wykorzystywanie w zamówieniach publicznych Komisji i w finansowaniu 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9A7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</w:t>
            </w:r>
            <w:r>
              <w:rPr>
                <w:rFonts w:ascii="Times New Roman" w:hAnsi="Times New Roman"/>
                <w:noProof/>
              </w:rPr>
              <w:t>ok 2016 i później</w:t>
            </w:r>
          </w:p>
        </w:tc>
      </w:tr>
      <w:tr w:rsidR="006E21F2" w14:paraId="1191A673" w14:textId="7777777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79CB38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9F266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</w:t>
            </w:r>
          </w:p>
        </w:tc>
      </w:tr>
      <w:tr w:rsidR="006E21F2" w14:paraId="12C9FEC1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AB398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Gospodarowanie odpadami</w:t>
            </w:r>
          </w:p>
        </w:tc>
      </w:tr>
      <w:tr w:rsidR="006E21F2" w14:paraId="31FC6751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F36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Zmieniony wniosek ustawodawczy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dotyczący odpadów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8BB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Grudzień 2015 r.</w:t>
            </w:r>
          </w:p>
        </w:tc>
      </w:tr>
      <w:tr w:rsidR="006E21F2" w14:paraId="57537C95" w14:textId="77777777">
        <w:trPr>
          <w:trHeight w:val="555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54D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Ściślejsza współpraca z państwami członkowskimi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celu lepszego wdrażania prawodawstwa UE w zakresie odpadów i zwalczania </w:t>
            </w:r>
            <w:r>
              <w:rPr>
                <w:rFonts w:ascii="Times New Roman" w:hAnsi="Times New Roman"/>
                <w:noProof/>
              </w:rPr>
              <w:t>nielegalnego przemieszczania pojazdów wycofanych z eksploatacji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84BE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 w:rsidR="006E21F2" w14:paraId="6E94BB30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F406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Sprawniejsze </w:t>
            </w:r>
            <w:r>
              <w:rPr>
                <w:rFonts w:ascii="Times New Roman" w:hAnsi="Times New Roman"/>
                <w:b/>
                <w:noProof/>
              </w:rPr>
              <w:t>egzekwowanie przepisów</w:t>
            </w:r>
            <w:r>
              <w:rPr>
                <w:rFonts w:ascii="Times New Roman" w:hAnsi="Times New Roman"/>
                <w:noProof/>
              </w:rPr>
              <w:t xml:space="preserve"> zmienionego rozporządzenia w sprawie przemieszczania odpadów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E5A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2386F94C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0EE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Rozpowszechnianie wspieranego przez branżę systemu </w:t>
            </w:r>
            <w:r>
              <w:rPr>
                <w:rFonts w:ascii="Times New Roman" w:hAnsi="Times New Roman"/>
                <w:b/>
                <w:noProof/>
              </w:rPr>
              <w:t>dobrowolnej certyfikacji</w:t>
            </w:r>
            <w:r>
              <w:rPr>
                <w:rFonts w:ascii="Times New Roman" w:hAnsi="Times New Roman"/>
                <w:noProof/>
              </w:rPr>
              <w:t xml:space="preserve"> urządzeń do przetwarzania kluczowych strumieni odpadów/recyklatu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C40E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2018 i później</w:t>
            </w:r>
          </w:p>
        </w:tc>
      </w:tr>
      <w:tr w:rsidR="006E21F2" w14:paraId="77065ABE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928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Inicjatywa w sprawie energii z odpadów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ramach unii energetycznej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2E8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3C700711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197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Identyfikacja i propagowanie dobrych praktyk w zakresie systemów zbierania odpadów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1E08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 Rok 2016 i później</w:t>
            </w:r>
          </w:p>
        </w:tc>
      </w:tr>
      <w:tr w:rsidR="006E21F2" w14:paraId="28884F9D" w14:textId="77777777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CBF77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12D0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415508B3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63021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Rynek surowców wtórnych</w:t>
            </w:r>
          </w:p>
        </w:tc>
      </w:tr>
      <w:tr w:rsidR="006E21F2" w14:paraId="274F4633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B7FA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norm jakości</w:t>
            </w:r>
            <w:r>
              <w:rPr>
                <w:rFonts w:ascii="Times New Roman" w:hAnsi="Times New Roman"/>
                <w:noProof/>
              </w:rPr>
              <w:t xml:space="preserve"> dla surowców wtórnych (zwłaszcza dla tworzyw sztucznych)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5EE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1AFC2836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CA6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Wniosek dotyczący zmienionego rozporządzenia w sprawie nawozów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67E6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Początek 2016 r.</w:t>
            </w:r>
          </w:p>
        </w:tc>
      </w:tr>
      <w:tr w:rsidR="006E21F2" w14:paraId="3EAF6B69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5D95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Proponowany wniosek ustawodawczy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określający minimalne wymogi w zakresie ponownego </w:t>
            </w:r>
            <w:r>
              <w:rPr>
                <w:rFonts w:ascii="Times New Roman" w:hAnsi="Times New Roman"/>
                <w:noProof/>
              </w:rPr>
              <w:t>wykorzystywania wody do irygacji i zasilania wód podziemnych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FF4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3A1E1920" w14:textId="77777777">
        <w:trPr>
          <w:trHeight w:val="12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8777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Propagowanie bezpiecznych i efektywnych pod względem kosztów sposobów ponownego wykorzystywania wody, łącznie z </w:t>
            </w:r>
            <w:r>
              <w:rPr>
                <w:rFonts w:ascii="Times New Roman" w:hAnsi="Times New Roman"/>
                <w:b/>
                <w:noProof/>
              </w:rPr>
              <w:t>wytycznymi</w:t>
            </w:r>
            <w:r>
              <w:rPr>
                <w:rFonts w:ascii="Times New Roman" w:hAnsi="Times New Roman"/>
                <w:noProof/>
              </w:rPr>
              <w:t xml:space="preserve"> dotyczącymi integracji systemów ponownego wykorzystania wody w </w:t>
            </w:r>
            <w:r>
              <w:rPr>
                <w:rFonts w:ascii="Times New Roman" w:hAnsi="Times New Roman"/>
                <w:noProof/>
              </w:rPr>
              <w:t xml:space="preserve">planowaniu i zarządzaniu w gospodarce wodnej, </w:t>
            </w:r>
            <w:r>
              <w:rPr>
                <w:rFonts w:ascii="Times New Roman" w:hAnsi="Times New Roman"/>
                <w:b/>
                <w:noProof/>
              </w:rPr>
              <w:t>z uwzględnieniem najlepszych praktyk w odpowiednich BREF</w:t>
            </w:r>
            <w:r>
              <w:rPr>
                <w:rFonts w:ascii="Times New Roman" w:hAnsi="Times New Roman"/>
                <w:noProof/>
              </w:rPr>
              <w:t xml:space="preserve"> oraz wspieraniem innowacji (za pośrednictwem europejskiego partnerstwa innowacyjnego i programu „Horyzont 2020”) oraz inwestycji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94F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2016–2017</w:t>
            </w:r>
          </w:p>
        </w:tc>
      </w:tr>
      <w:tr w:rsidR="006E21F2" w14:paraId="747FF236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BB37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Analizy i warianty strategiczne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 styku prawodawstwa dotyczącego chemikaliów, produktów i odpadów, w tym sposoby poprawy monitorowania potencjalnie niebezpiecznych chemikaliów znajdujących się w produktach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8F79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025C560F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F9F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Środki ułatwiające przemieszczanie odpad</w:t>
            </w:r>
            <w:r>
              <w:rPr>
                <w:rFonts w:ascii="Times New Roman" w:hAnsi="Times New Roman"/>
                <w:noProof/>
              </w:rPr>
              <w:t xml:space="preserve">ów na terenie całej UE, w tym </w:t>
            </w:r>
            <w:r>
              <w:rPr>
                <w:rFonts w:ascii="Times New Roman" w:hAnsi="Times New Roman"/>
                <w:b/>
                <w:noProof/>
              </w:rPr>
              <w:t>elektroniczna wymiana danych</w:t>
            </w:r>
            <w:r>
              <w:rPr>
                <w:rFonts w:ascii="Times New Roman" w:hAnsi="Times New Roman"/>
                <w:noProof/>
              </w:rPr>
              <w:t xml:space="preserve"> (i ewentualnie inne środki)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0D4B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5DD8812F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231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Dalszy rozwój unijnego </w:t>
            </w:r>
            <w:r>
              <w:rPr>
                <w:rFonts w:ascii="Times New Roman" w:hAnsi="Times New Roman"/>
                <w:b/>
                <w:noProof/>
              </w:rPr>
              <w:t>systemu informacji dotyczącego surowców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FDB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403120F9" w14:textId="77777777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E0DB0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3EF45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79919959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CAC91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Działania sektorowe</w:t>
            </w:r>
          </w:p>
        </w:tc>
      </w:tr>
      <w:tr w:rsidR="006E21F2" w14:paraId="730D8BEA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B4E04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Tworzywa sztuczne</w:t>
            </w:r>
          </w:p>
        </w:tc>
      </w:tr>
      <w:tr w:rsidR="006E21F2" w14:paraId="5E7AD766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D74B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Strategia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dotycząca tworzyw sztucznych w gospodarce o obiegu zamkniętym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48C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67DC3455" w14:textId="77777777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6423E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Konkretne działania na rzecz zmniejszenia ilości odpadów morskich dzięki realizacji celów zrównoważonego rozwoju na rok 2030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045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2015 i później</w:t>
            </w:r>
          </w:p>
        </w:tc>
      </w:tr>
      <w:tr w:rsidR="006E21F2" w14:paraId="1F889696" w14:textId="77777777"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D084D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4C50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32BA19BB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05AC9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Odpady spożywcze</w:t>
            </w:r>
          </w:p>
        </w:tc>
      </w:tr>
      <w:tr w:rsidR="006E21F2" w14:paraId="132D371F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9F9B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wspólnej metodologii i wskaźników</w:t>
            </w:r>
            <w:r>
              <w:rPr>
                <w:rFonts w:ascii="Times New Roman" w:hAnsi="Times New Roman"/>
                <w:noProof/>
              </w:rPr>
              <w:t xml:space="preserve"> umożliwiających pomiar marnotrawienia żywności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DD91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34F63823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860D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Platforma dla zainteresowanych stron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celu zbadania sposobów osiągnięcia celów zrównoważonego rozwoju w obszarze odpadów spożywczych, dzielenia się najlepszymi praktykami i oceny postępów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854B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240E039B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459C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Doprecyzowanie odpowiednich przepisów UE dotyczących odpadów, żywności i pasz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tak, by ułatwiać ofiarowanie żywności potrzebującym i wykorzystywanie wycofanych środków spożywczych w paszach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4F09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4DC4FCE8" w14:textId="7777777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D20B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Zbadanie możliwości skuteczniejszego stosowania i </w:t>
            </w:r>
            <w:r>
              <w:rPr>
                <w:rFonts w:ascii="Times New Roman" w:hAnsi="Times New Roman"/>
                <w:noProof/>
              </w:rPr>
              <w:t>lepszego zrozumienia oznaczeń dat na produktach spożywczych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D947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7BAA7B30" w14:textId="77777777">
        <w:trPr>
          <w:trHeight w:val="300"/>
        </w:trPr>
        <w:tc>
          <w:tcPr>
            <w:tcW w:w="7560" w:type="dxa"/>
            <w:tcBorders>
              <w:top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7372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7BE26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27F28D5D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44C97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Surowce krytyczne</w:t>
            </w:r>
          </w:p>
        </w:tc>
      </w:tr>
      <w:tr w:rsidR="006E21F2" w14:paraId="11E65BFA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F12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Sprawozdanie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na temat surowców krytycznych i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1C3E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2126FDEE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497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Usprawnienie </w:t>
            </w:r>
            <w:r>
              <w:rPr>
                <w:rFonts w:ascii="Times New Roman" w:hAnsi="Times New Roman"/>
                <w:b/>
                <w:noProof/>
              </w:rPr>
              <w:t>wymiany informacji</w:t>
            </w:r>
            <w:r>
              <w:rPr>
                <w:rFonts w:ascii="Times New Roman" w:hAnsi="Times New Roman"/>
                <w:noProof/>
              </w:rPr>
              <w:t xml:space="preserve"> między producentami produktów elektronicznych a podmiotami zajmującymi się ich recyklingiem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CE5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2282AE0C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5F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Europejskie normy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dotyczące materiałooszczędnego recyklingu zużytego sprzętu elektrycznego i elektronicznego, zużytych baterii i innych złożony</w:t>
            </w:r>
            <w:r>
              <w:rPr>
                <w:rFonts w:ascii="Times New Roman" w:hAnsi="Times New Roman"/>
                <w:noProof/>
              </w:rPr>
              <w:t xml:space="preserve">ch produktów wycofanych z eksploatacji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415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47FE1475" w14:textId="77777777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BD23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Wymiana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 zakresie odzyskiwania surowców krytycznych z odpadów górniczych i ze składowisk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D1365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6AA581CF" w14:textId="77777777">
        <w:trPr>
          <w:trHeight w:val="300"/>
        </w:trPr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63B5A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BB54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2E550310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71E46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Odpady z budowy i rozbiórki</w:t>
            </w:r>
          </w:p>
        </w:tc>
      </w:tr>
      <w:tr w:rsidR="006E21F2" w14:paraId="2D583BC6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520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Wytyczne</w:t>
            </w:r>
            <w:r>
              <w:rPr>
                <w:rFonts w:ascii="Times New Roman" w:hAnsi="Times New Roman"/>
                <w:noProof/>
              </w:rPr>
              <w:t xml:space="preserve"> dla sektora budowlanego dotyczące oceny przeprowadzanej na etapie przed rozbiórką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DDE5C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  <w:tr w:rsidR="006E21F2" w14:paraId="66B39D69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9F84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Dobrowolne sektorowe </w:t>
            </w:r>
            <w:r>
              <w:rPr>
                <w:rFonts w:ascii="Times New Roman" w:hAnsi="Times New Roman"/>
                <w:b/>
                <w:noProof/>
              </w:rPr>
              <w:t>protokoły recyklingu</w:t>
            </w:r>
            <w:r>
              <w:rPr>
                <w:rFonts w:ascii="Times New Roman" w:hAnsi="Times New Roman"/>
                <w:noProof/>
              </w:rPr>
              <w:t xml:space="preserve"> dla odpadów z budowy i rozbiórki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152A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3E3083FD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AA4FB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Główne wskaźniki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służące do oceny efektywności środowiskowej w całym cyklu </w:t>
            </w:r>
            <w:r>
              <w:rPr>
                <w:rFonts w:ascii="Times New Roman" w:hAnsi="Times New Roman"/>
                <w:noProof/>
              </w:rPr>
              <w:t>życia budynku oraz zachęty do ich stosowania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7F0E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2017 i później</w:t>
            </w:r>
          </w:p>
        </w:tc>
      </w:tr>
      <w:tr w:rsidR="006E21F2" w14:paraId="0A4F1CD2" w14:textId="77777777">
        <w:trPr>
          <w:trHeight w:val="3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446BE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5ACBF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6CE505EC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115B37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Biomasa i materiały pochodzenia biologicznego</w:t>
            </w:r>
          </w:p>
        </w:tc>
      </w:tr>
      <w:tr w:rsidR="006E21F2" w14:paraId="2C36648F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130B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Propagowanie wytycznych i najlepszych praktyk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sprawie kaskadowego wykorzystania biomasy i wspieranie innowacji w tej dziedzinie za </w:t>
            </w:r>
            <w:r>
              <w:rPr>
                <w:rFonts w:ascii="Times New Roman" w:hAnsi="Times New Roman"/>
                <w:noProof/>
              </w:rPr>
              <w:t>pomocą programu „Horyzont 2020”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7BD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Lata 2018–2019</w:t>
            </w:r>
          </w:p>
        </w:tc>
      </w:tr>
      <w:tr w:rsidR="006E21F2" w14:paraId="53709A19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C953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Zapewnianie spójności i synergii z gospodarką o obiegu zamkniętym przy ocenie zrównoważoności bioenergii w ramach unii energetycznej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717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5185873F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84B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Ocena wkładu strategii na rzecz biogospodarki z 2012 r. w gospodar</w:t>
            </w:r>
            <w:r>
              <w:rPr>
                <w:rFonts w:ascii="Times New Roman" w:hAnsi="Times New Roman"/>
                <w:noProof/>
              </w:rPr>
              <w:t>kę o obiegu zamkniętym i jej ewentualny przegląd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3BC2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2016 r. </w:t>
            </w:r>
          </w:p>
        </w:tc>
      </w:tr>
      <w:tr w:rsidR="006E21F2" w14:paraId="00F3040A" w14:textId="77777777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A2518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1E997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 </w:t>
            </w:r>
          </w:p>
        </w:tc>
      </w:tr>
      <w:tr w:rsidR="006E21F2" w14:paraId="306B04E3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EEACE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Innowacje i inwestycje</w:t>
            </w:r>
          </w:p>
        </w:tc>
      </w:tr>
      <w:tr w:rsidR="006E21F2" w14:paraId="259B5598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52F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Inicjatywa „Przemysł 2020 w gospodarce o obiegu zamkniętym” w ramach programu </w:t>
            </w:r>
            <w:r>
              <w:rPr>
                <w:rFonts w:ascii="Times New Roman" w:hAnsi="Times New Roman"/>
                <w:b/>
                <w:noProof/>
              </w:rPr>
              <w:t>„Horyzont 2020”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58CE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Październik 2015 r.</w:t>
            </w:r>
          </w:p>
        </w:tc>
      </w:tr>
      <w:tr w:rsidR="006E21F2" w14:paraId="547C504D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F780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Projekt pilotażowy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odniesieniu do „umów dotyczących innowacji” w celu wyeliminowania ewentualnych przeszkód prawnych dla innowatorów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C1C73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13855B6E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182B9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Ukierunkowane działania informacyjne zachęcające do składania wniosków o finansowanie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 xml:space="preserve">w ramach EFIS i wspieranie realizacji projektów lub platform inwestycyjnych dotyczących gospodarki o obiegu zamkniętym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CA7F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1C3EEF1A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1570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lastRenderedPageBreak/>
              <w:t>Ukierunkowane działania informacyjne i komunikacyjne</w:t>
            </w:r>
            <w:r>
              <w:rPr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wspierające państwa członkowskie i regiony w wykorzystywaniu fu</w:t>
            </w:r>
            <w:r>
              <w:rPr>
                <w:rFonts w:ascii="Times New Roman" w:hAnsi="Times New Roman"/>
                <w:noProof/>
              </w:rPr>
              <w:t>nduszy polityki spójności na rzecz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F5F0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5531C64D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761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Wsparcie dla państw członkowskich i regionów</w:t>
            </w:r>
            <w:r>
              <w:rPr>
                <w:noProof/>
              </w:rPr>
              <w:t xml:space="preserve">, </w:t>
            </w:r>
            <w:r>
              <w:rPr>
                <w:rFonts w:ascii="Times New Roman" w:hAnsi="Times New Roman"/>
                <w:noProof/>
              </w:rPr>
              <w:t>aby zwiększyć innowacje na rzecz gospodarki o obiegu zamkniętym poprzez inteligentną specjalizację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AFCD1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7E17B9D6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152C8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Ocena możliwości uruchomienia, </w:t>
            </w:r>
            <w:r>
              <w:rPr>
                <w:rFonts w:ascii="Times New Roman" w:hAnsi="Times New Roman"/>
                <w:b/>
                <w:noProof/>
              </w:rPr>
              <w:t>wspólnie z EBI i bankami narodowymi, platformy</w:t>
            </w:r>
            <w:r>
              <w:rPr>
                <w:rFonts w:ascii="Times New Roman" w:hAnsi="Times New Roman"/>
                <w:noProof/>
              </w:rPr>
              <w:t xml:space="preserve"> na rzecz wspierania finansowania gospodarki o obiegu zamkniętym.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1C88D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2016 r.</w:t>
            </w:r>
          </w:p>
        </w:tc>
      </w:tr>
      <w:tr w:rsidR="006E21F2" w14:paraId="43207264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473E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Udział zainteresowanych stron we wdrażaniu niniejszego planu działania za pośrednictwem istniejących for</w:t>
            </w:r>
            <w:r>
              <w:rPr>
                <w:rFonts w:ascii="Times New Roman" w:hAnsi="Times New Roman"/>
                <w:noProof/>
              </w:rPr>
              <w:t>ów w kluczowych sektorach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0325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Rok 2016 i później</w:t>
            </w:r>
          </w:p>
        </w:tc>
      </w:tr>
      <w:tr w:rsidR="006E21F2" w14:paraId="22E68E3E" w14:textId="77777777">
        <w:trPr>
          <w:trHeight w:val="9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138E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Wspieranie zainteresowanych stron za pomocą działań w zakresie partnerstw publiczno-prywatnych, platform współpracy, wspierania dobrowolnych rozwiązań biznesowych oraz wymiany najlepszych praktyk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AFD6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Rok 2015 i </w:t>
            </w:r>
            <w:r>
              <w:rPr>
                <w:rFonts w:ascii="Times New Roman" w:hAnsi="Times New Roman"/>
                <w:noProof/>
              </w:rPr>
              <w:t>później</w:t>
            </w:r>
          </w:p>
        </w:tc>
      </w:tr>
      <w:tr w:rsidR="006E21F2" w14:paraId="19AE96E5" w14:textId="77777777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B0C7" w14:textId="77777777" w:rsidR="006E21F2" w:rsidRDefault="006E21F2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6403" w14:textId="77777777" w:rsidR="006E21F2" w:rsidRDefault="006E21F2">
            <w:pPr>
              <w:spacing w:after="0" w:line="240" w:lineRule="auto"/>
              <w:rPr>
                <w:rFonts w:ascii="Calibri" w:eastAsia="Times New Roman" w:hAnsi="Calibri" w:cs="Times New Roman"/>
                <w:noProof/>
              </w:rPr>
            </w:pPr>
          </w:p>
        </w:tc>
      </w:tr>
      <w:tr w:rsidR="006E21F2" w14:paraId="6EE9A8B0" w14:textId="77777777">
        <w:trPr>
          <w:trHeight w:val="300"/>
        </w:trPr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DF8477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Monitorowanie</w:t>
            </w:r>
          </w:p>
        </w:tc>
      </w:tr>
      <w:tr w:rsidR="006E21F2" w14:paraId="3F57DA08" w14:textId="77777777">
        <w:trPr>
          <w:trHeight w:val="600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5184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Opracowanie </w:t>
            </w:r>
            <w:r>
              <w:rPr>
                <w:rFonts w:ascii="Times New Roman" w:hAnsi="Times New Roman"/>
                <w:b/>
                <w:noProof/>
              </w:rPr>
              <w:t>ram monitorowania</w:t>
            </w:r>
            <w:r>
              <w:rPr>
                <w:rFonts w:ascii="Times New Roman" w:hAnsi="Times New Roman"/>
                <w:noProof/>
              </w:rPr>
              <w:t xml:space="preserve"> gospodarki o obiegu zamkniętym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E5E2" w14:textId="77777777" w:rsidR="006E21F2" w:rsidRDefault="00E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2017 r.</w:t>
            </w:r>
          </w:p>
        </w:tc>
      </w:tr>
    </w:tbl>
    <w:p w14:paraId="285430F6" w14:textId="77777777" w:rsidR="006E21F2" w:rsidRDefault="006E21F2">
      <w:pPr>
        <w:rPr>
          <w:noProof/>
        </w:rPr>
      </w:pPr>
    </w:p>
    <w:sectPr w:rsidR="006E21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0DC77" w14:textId="77777777" w:rsidR="00E077F5" w:rsidRDefault="00E077F5">
      <w:pPr>
        <w:spacing w:after="0" w:line="240" w:lineRule="auto"/>
      </w:pPr>
      <w:r>
        <w:separator/>
      </w:r>
    </w:p>
  </w:endnote>
  <w:endnote w:type="continuationSeparator" w:id="0">
    <w:p w14:paraId="322BA5C4" w14:textId="77777777" w:rsidR="00E077F5" w:rsidRDefault="00E0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31E63" w14:textId="77777777" w:rsidR="006E21F2" w:rsidRDefault="006E2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8F3D" w14:textId="77777777" w:rsidR="006E21F2" w:rsidRDefault="00E077F5"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PL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>
      <w:tab/>
    </w:r>
    <w:proofErr w:type="spellStart"/>
    <w:r>
      <w:rPr>
        <w:rFonts w:ascii="Arial" w:hAnsi="Arial" w:cs="Arial"/>
        <w:b/>
        <w:sz w:val="48"/>
      </w:rPr>
      <w:t>PL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27F33" w14:textId="77777777" w:rsidR="006E21F2" w:rsidRDefault="006E21F2">
    <w:pPr>
      <w:pStyle w:val="FooterCover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EDDD5" w14:textId="77777777" w:rsidR="006E21F2" w:rsidRDefault="006E21F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3118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40CBD" w14:textId="77777777" w:rsidR="006E21F2" w:rsidRDefault="00E077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396895" w14:textId="77777777" w:rsidR="006E21F2" w:rsidRDefault="006E21F2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F302" w14:textId="77777777" w:rsidR="006E21F2" w:rsidRDefault="006E2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E212C" w14:textId="77777777" w:rsidR="00E077F5" w:rsidRDefault="00E077F5">
      <w:pPr>
        <w:spacing w:after="0" w:line="240" w:lineRule="auto"/>
      </w:pPr>
      <w:r>
        <w:separator/>
      </w:r>
    </w:p>
  </w:footnote>
  <w:footnote w:type="continuationSeparator" w:id="0">
    <w:p w14:paraId="1CBFFB89" w14:textId="77777777" w:rsidR="00E077F5" w:rsidRDefault="00E0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5B0B" w14:textId="77777777" w:rsidR="006E21F2" w:rsidRDefault="006E2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A0E7" w14:textId="77777777" w:rsidR="006E21F2" w:rsidRDefault="006E21F2">
    <w:pPr>
      <w:pStyle w:val="HeaderCoverPag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FE39" w14:textId="77777777" w:rsidR="006E21F2" w:rsidRDefault="006E21F2">
    <w:pPr>
      <w:pStyle w:val="HeaderCoverPag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2B6BA" w14:textId="77777777" w:rsidR="006E21F2" w:rsidRDefault="006E21F2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7F889" w14:textId="77777777" w:rsidR="006E21F2" w:rsidRDefault="006E21F2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B03F3" w14:textId="77777777" w:rsidR="006E21F2" w:rsidRDefault="006E2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9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  <w:num w:numId="14">
    <w:abstractNumId w:val="3"/>
  </w:num>
  <w:num w:numId="15">
    <w:abstractNumId w:val="14"/>
  </w:num>
  <w:num w:numId="16">
    <w:abstractNumId w:val="7"/>
  </w:num>
  <w:num w:numId="17">
    <w:abstractNumId w:val="2"/>
  </w:num>
  <w:num w:numId="18">
    <w:abstractNumId w:val="6"/>
  </w:num>
  <w:num w:numId="19">
    <w:abstractNumId w:val="12"/>
  </w:num>
  <w:num w:numId="20">
    <w:abstractNumId w:val="13"/>
  </w:num>
  <w:num w:numId="21">
    <w:abstractNumId w:val="4"/>
  </w:num>
  <w:num w:numId="22">
    <w:abstractNumId w:val="11"/>
  </w:num>
  <w:num w:numId="23">
    <w:abstractNumId w:val="10"/>
  </w:num>
  <w:num w:numId="24">
    <w:abstractNumId w:val="8"/>
  </w:num>
  <w:num w:numId="25">
    <w:abstractNumId w:val="9"/>
  </w:num>
  <w:num w:numId="26">
    <w:abstractNumId w:val="1"/>
  </w:num>
  <w:num w:numId="27">
    <w:abstractNumId w:val="5"/>
  </w:num>
  <w:num w:numId="28">
    <w:abstractNumId w:val="0"/>
  </w:num>
  <w:num w:numId="29">
    <w:abstractNumId w:val="3"/>
  </w:num>
  <w:num w:numId="30">
    <w:abstractNumId w:val="14"/>
  </w:num>
  <w:num w:numId="31">
    <w:abstractNumId w:val="1"/>
  </w:num>
  <w:num w:numId="32">
    <w:abstractNumId w:val="5"/>
  </w:num>
  <w:num w:numId="33">
    <w:abstractNumId w:val="0"/>
  </w:num>
  <w:num w:numId="34">
    <w:abstractNumId w:val="3"/>
  </w:num>
  <w:num w:numId="35">
    <w:abstractNumId w:val="14"/>
  </w:num>
  <w:num w:numId="36">
    <w:abstractNumId w:val="1"/>
  </w:num>
  <w:num w:numId="37">
    <w:abstractNumId w:val="5"/>
  </w:num>
  <w:num w:numId="38">
    <w:abstractNumId w:val="0"/>
  </w:num>
  <w:num w:numId="39">
    <w:abstractNumId w:val="3"/>
  </w:num>
  <w:num w:numId="40">
    <w:abstractNumId w:val="14"/>
  </w:num>
  <w:num w:numId="41">
    <w:abstractNumId w:val="1"/>
  </w:num>
  <w:num w:numId="42">
    <w:abstractNumId w:val="5"/>
  </w:num>
  <w:num w:numId="43">
    <w:abstractNumId w:val="0"/>
  </w:num>
  <w:num w:numId="44">
    <w:abstractNumId w:val="3"/>
  </w:num>
  <w:num w:numId="4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VERPAGE_EXISTS" w:val="True"/>
    <w:docVar w:name="DocStatus" w:val="Green"/>
    <w:docVar w:name="LW_ACCOMPAGNANT.CP" w:val="do"/>
    <w:docVar w:name="LW_ANNEX_NBR_FIRST" w:val="1"/>
    <w:docVar w:name="LW_ANNEX_NBR_LAST" w:val="1"/>
    <w:docVar w:name="LW_CONFIDENCE" w:val=" "/>
    <w:docVar w:name="LW_CONST_RESTREINT_UE" w:val="RESTREINT UE"/>
    <w:docVar w:name="LW_CORRIGENDUM" w:val="&lt;UNUSED&gt;"/>
    <w:docVar w:name="LW_COVERPAGE_GUID" w:val="0EAC39A86B12450E9C388C52D97284B9"/>
    <w:docVar w:name="LW_CROSSREFERENCE" w:val="&lt;UNUSED&gt;"/>
    <w:docVar w:name="LW_DocType" w:val="NORMAL"/>
    <w:docVar w:name="LW_EMISSION" w:val="2.12.2015"/>
    <w:docVar w:name="LW_EMISSION_ISODATE" w:val="2015-12-02"/>
    <w:docVar w:name="LW_EMISSION_LOCATION" w:val="BRX"/>
    <w:docVar w:name="LW_EMISSION_PREFIX" w:val="Bruksela, dnia "/>
    <w:docVar w:name="LW_EMISSION_SUFFIX" w:val=" r."/>
    <w:docVar w:name="LW_ID_DOCTYPE_NONLW" w:val="CP-039"/>
    <w:docVar w:name="LW_LANGUE" w:val="PL"/>
    <w:docVar w:name="LW_MARKING" w:val="&lt;UNUSED&gt;"/>
    <w:docVar w:name="LW_NOM.INST" w:val="KOMISJA EUROPEJSKA"/>
    <w:docVar w:name="LW_NOM.INST_JOINTDOC" w:val="&lt;EMPTY&gt;"/>
    <w:docVar w:name="LW_OBJETACTEPRINCIPAL.CP" w:val="Zamkni\u281?cie obiegu - plan dzia\u322?ania UE dotycz\u261?cy gospodarki o obiegu zamkni\u281?tym"/>
    <w:docVar w:name="LW_PART_NBR" w:val="1"/>
    <w:docVar w:name="LW_PART_NBR_TOTAL" w:val="1"/>
    <w:docVar w:name="LW_REF.INST.NEW" w:val="COM"/>
    <w:docVar w:name="LW_REF.INST.NEW_ADOPTED" w:val="final"/>
    <w:docVar w:name="LW_REF.INST.NEW_TEXT" w:val="(2015) 614"/>
    <w:docVar w:name="LW_REF.INTERNE" w:val="&lt;UNUSED&gt;"/>
    <w:docVar w:name="LW_SUPERTITRE" w:val="&lt;UNUSED&gt;"/>
    <w:docVar w:name="LW_TITRE.OBJ.CP" w:val="&lt;UNUSED&gt;"/>
    <w:docVar w:name="LW_TYPE.DOC.CP" w:val="ZA\u321?\u260?CZNIK_x000b_"/>
    <w:docVar w:name="LW_TYPEACTEPRINCIPAL.CP" w:val="KOMUNIKATU KOMISJI DO PARLAMENTU EUROPEJSKIEGO, RADY, KOMITETU EKONOMICZNO-SPO\u321?ECZNEGO I KOMITETU REGIONÓW"/>
  </w:docVars>
  <w:rsids>
    <w:rsidRoot w:val="006E21F2"/>
    <w:rsid w:val="006A4908"/>
    <w:rsid w:val="006E21F2"/>
    <w:rsid w:val="00E0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8BB3"/>
  <w15:docId w15:val="{6FDC0D06-F040-4C2E-8F17-D15190AA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r">
    <w:name w:val="Marker"/>
    <w:basedOn w:val="Domylnaczcionkaakapitu"/>
    <w:rPr>
      <w:color w:val="0000FF"/>
      <w:shd w:val="clear" w:color="auto" w:fill="auto"/>
    </w:rPr>
  </w:style>
  <w:style w:type="paragraph" w:customStyle="1" w:styleId="Pagedecouverture">
    <w:name w:val="Page de couverture"/>
    <w:basedOn w:val="Normalny"/>
    <w:next w:val="Normalny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FooterCoverPage">
    <w:name w:val="Footer Cover Page"/>
    <w:basedOn w:val="Normalny"/>
    <w:link w:val="FooterCoverPageChar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  <w:szCs w:val="24"/>
    </w:rPr>
  </w:style>
  <w:style w:type="character" w:customStyle="1" w:styleId="FooterCoverPageChar">
    <w:name w:val="Footer Cover Page Char"/>
    <w:basedOn w:val="Domylnaczcionkaakapitu"/>
    <w:link w:val="FooterCoverPage"/>
    <w:rPr>
      <w:rFonts w:ascii="Times New Roman" w:hAnsi="Times New Roman" w:cs="Times New Roman"/>
      <w:sz w:val="24"/>
      <w:szCs w:val="24"/>
    </w:rPr>
  </w:style>
  <w:style w:type="paragraph" w:customStyle="1" w:styleId="HeaderCoverPage">
    <w:name w:val="Header Cover Page"/>
    <w:basedOn w:val="Normalny"/>
    <w:link w:val="HeaderCoverPageChar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erCoverPageChar">
    <w:name w:val="Header Cover Page Char"/>
    <w:basedOn w:val="Domylnaczcionkaakapitu"/>
    <w:link w:val="HeaderCoverPag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ny"/>
    <w:next w:val="Normalny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">
    <w:name w:val="List Bullet"/>
    <w:basedOn w:val="Normalny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Bullet1">
    <w:name w:val="List Bullet 1"/>
    <w:basedOn w:val="Normalny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2">
    <w:name w:val="List Bullet 2"/>
    <w:basedOn w:val="Normalny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3">
    <w:name w:val="List Bullet 3"/>
    <w:basedOn w:val="Normalny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punktowana4">
    <w:name w:val="List Bullet 4"/>
    <w:basedOn w:val="Normalny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">
    <w:name w:val="List Dash"/>
    <w:basedOn w:val="Normalny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1">
    <w:name w:val="List Dash 1"/>
    <w:basedOn w:val="Normalny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2">
    <w:name w:val="List Dash 2"/>
    <w:basedOn w:val="Normalny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3">
    <w:name w:val="List Dash 3"/>
    <w:basedOn w:val="Normalny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Dash4">
    <w:name w:val="List Dash 4"/>
    <w:basedOn w:val="Normalny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">
    <w:name w:val="List Number"/>
    <w:basedOn w:val="Normalny"/>
    <w:pPr>
      <w:numPr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">
    <w:name w:val="List Number 1"/>
    <w:basedOn w:val="Normalny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2">
    <w:name w:val="List Number 2"/>
    <w:basedOn w:val="Normalny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3">
    <w:name w:val="List Number 3"/>
    <w:basedOn w:val="Normalny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Listanumerowana4">
    <w:name w:val="List Number 4"/>
    <w:basedOn w:val="Normalny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2">
    <w:name w:val="List Number (Level 2)"/>
    <w:basedOn w:val="Normalny"/>
    <w:pPr>
      <w:numPr>
        <w:ilvl w:val="1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2">
    <w:name w:val="List Number 1 (Level 2)"/>
    <w:basedOn w:val="Normalny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2">
    <w:name w:val="List Number 2 (Level 2)"/>
    <w:basedOn w:val="Normalny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2">
    <w:name w:val="List Number 3 (Level 2)"/>
    <w:basedOn w:val="Normalny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2">
    <w:name w:val="List Number 4 (Level 2)"/>
    <w:basedOn w:val="Normalny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3">
    <w:name w:val="List Number (Level 3)"/>
    <w:basedOn w:val="Normalny"/>
    <w:pPr>
      <w:numPr>
        <w:ilvl w:val="2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3">
    <w:name w:val="List Number 1 (Level 3)"/>
    <w:basedOn w:val="Normalny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3">
    <w:name w:val="List Number 2 (Level 3)"/>
    <w:basedOn w:val="Normalny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3">
    <w:name w:val="List Number 3 (Level 3)"/>
    <w:basedOn w:val="Normalny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3">
    <w:name w:val="List Number 4 (Level 3)"/>
    <w:basedOn w:val="Normalny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Level4">
    <w:name w:val="List Number (Level 4)"/>
    <w:basedOn w:val="Normalny"/>
    <w:pPr>
      <w:numPr>
        <w:ilvl w:val="3"/>
        <w:numId w:val="4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1Level4">
    <w:name w:val="List Number 1 (Level 4)"/>
    <w:basedOn w:val="Normalny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2Level4">
    <w:name w:val="List Number 2 (Level 4)"/>
    <w:basedOn w:val="Normalny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3Level4">
    <w:name w:val="List Number 3 (Level 4)"/>
    <w:basedOn w:val="Normalny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customStyle="1" w:styleId="ListNumber4Level4">
    <w:name w:val="List Number 4 (Level 4)"/>
    <w:basedOn w:val="Normalny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 w:bidi="ar-SA"/>
    </w:r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ormalny"/>
    <w:next w:val="Normalny"/>
    <w:qFormat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DOMINICIS Ariane (SG)</dc:creator>
  <cp:lastModifiedBy>Aleksandra Kretkowska</cp:lastModifiedBy>
  <cp:revision>2</cp:revision>
  <cp:lastPrinted>2015-11-24T10:49:00Z</cp:lastPrinted>
  <dcterms:created xsi:type="dcterms:W3CDTF">2020-05-11T17:27:00Z</dcterms:created>
  <dcterms:modified xsi:type="dcterms:W3CDTF">2020-05-11T17:27:00Z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st annex">
    <vt:lpwstr>1</vt:lpwstr>
  </property>
  <property fmtid="{D5CDD505-2E9C-101B-9397-08002B2CF9AE}" pid="3" name="Last annex">
    <vt:lpwstr>1</vt:lpwstr>
  </property>
  <property fmtid="{D5CDD505-2E9C-101B-9397-08002B2CF9AE}" pid="4" name="Part">
    <vt:lpwstr>1</vt:lpwstr>
  </property>
  <property fmtid="{D5CDD505-2E9C-101B-9397-08002B2CF9AE}" pid="5" name="Total parts">
    <vt:lpwstr>1</vt:lpwstr>
  </property>
  <property fmtid="{D5CDD505-2E9C-101B-9397-08002B2CF9AE}" pid="6" name="DocStatus">
    <vt:lpwstr>Green</vt:lpwstr>
  </property>
  <property fmtid="{D5CDD505-2E9C-101B-9397-08002B2CF9AE}" pid="7" name="Classification">
    <vt:lpwstr> </vt:lpwstr>
  </property>
  <property fmtid="{D5CDD505-2E9C-101B-9397-08002B2CF9AE}" pid="8" name="ELDocType">
    <vt:lpwstr>REP.DOT</vt:lpwstr>
  </property>
  <property fmtid="{D5CDD505-2E9C-101B-9397-08002B2CF9AE}" pid="9" name="Created using">
    <vt:lpwstr>3.0</vt:lpwstr>
  </property>
  <property fmtid="{D5CDD505-2E9C-101B-9397-08002B2CF9AE}" pid="10" name="Last edited using">
    <vt:lpwstr>EL </vt:lpwstr>
  </property>
</Properties>
</file>